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AA10CD" w14:textId="77777777" w:rsidR="008578AA" w:rsidRDefault="008578AA" w:rsidP="008578AA">
      <w:pPr>
        <w:rPr>
          <w:lang w:val="en-GB"/>
        </w:rPr>
      </w:pPr>
    </w:p>
    <w:tbl>
      <w:tblPr>
        <w:tblW w:w="5000" w:type="pct"/>
        <w:tblCellSpacing w:w="0" w:type="dxa"/>
        <w:tblCellMar>
          <w:left w:w="0" w:type="dxa"/>
          <w:right w:w="0" w:type="dxa"/>
        </w:tblCellMar>
        <w:tblLook w:val="04A0" w:firstRow="1" w:lastRow="0" w:firstColumn="1" w:lastColumn="0" w:noHBand="0" w:noVBand="1"/>
      </w:tblPr>
      <w:tblGrid>
        <w:gridCol w:w="9360"/>
      </w:tblGrid>
      <w:tr w:rsidR="008578AA" w14:paraId="29F6F3A3" w14:textId="77777777" w:rsidTr="008578AA">
        <w:trPr>
          <w:tblCellSpacing w:w="0" w:type="dxa"/>
        </w:trPr>
        <w:tc>
          <w:tcPr>
            <w:tcW w:w="0" w:type="auto"/>
            <w:vAlign w:val="center"/>
            <w:hideMark/>
          </w:tcPr>
          <w:tbl>
            <w:tblPr>
              <w:tblW w:w="0" w:type="auto"/>
              <w:jc w:val="center"/>
              <w:tblCellSpacing w:w="15" w:type="dxa"/>
              <w:tblCellMar>
                <w:left w:w="0" w:type="dxa"/>
                <w:right w:w="0" w:type="dxa"/>
              </w:tblCellMar>
              <w:tblLook w:val="04A0" w:firstRow="1" w:lastRow="0" w:firstColumn="1" w:lastColumn="0" w:noHBand="0" w:noVBand="1"/>
            </w:tblPr>
            <w:tblGrid>
              <w:gridCol w:w="9360"/>
            </w:tblGrid>
            <w:tr w:rsidR="008578AA" w14:paraId="38211E13" w14:textId="77777777">
              <w:trPr>
                <w:tblCellSpacing w:w="15" w:type="dxa"/>
                <w:jc w:val="center"/>
              </w:trPr>
              <w:tc>
                <w:tcPr>
                  <w:tcW w:w="0" w:type="auto"/>
                  <w:tcMar>
                    <w:top w:w="15" w:type="dxa"/>
                    <w:left w:w="15" w:type="dxa"/>
                    <w:bottom w:w="15" w:type="dxa"/>
                    <w:right w:w="15" w:type="dxa"/>
                  </w:tcMar>
                  <w:vAlign w:val="center"/>
                  <w:hideMark/>
                </w:tcPr>
                <w:p w14:paraId="70805714" w14:textId="78FEDEF7" w:rsidR="008578AA" w:rsidRDefault="008578AA" w:rsidP="008578AA">
                  <w:pPr>
                    <w:pStyle w:val="NormalWeb"/>
                  </w:pPr>
                  <w:r>
                    <w:rPr>
                      <w:rFonts w:ascii="Arial" w:hAnsi="Arial" w:cs="Arial"/>
                      <w:sz w:val="21"/>
                      <w:szCs w:val="21"/>
                    </w:rPr>
                    <w:t> </w:t>
                  </w:r>
                  <w:r>
                    <w:rPr>
                      <w:rFonts w:ascii="Arial" w:hAnsi="Arial" w:cs="Arial"/>
                      <w:noProof/>
                      <w:sz w:val="21"/>
                      <w:szCs w:val="21"/>
                    </w:rPr>
                    <w:drawing>
                      <wp:inline distT="0" distB="0" distL="0" distR="0" wp14:anchorId="5AD84E8E" wp14:editId="63C86943">
                        <wp:extent cx="2024063" cy="809625"/>
                        <wp:effectExtent l="0" t="0" r="0" b="0"/>
                        <wp:docPr id="6" name="Picture 6"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27487" cy="810994"/>
                                </a:xfrm>
                                <a:prstGeom prst="rect">
                                  <a:avLst/>
                                </a:prstGeom>
                                <a:noFill/>
                                <a:ln>
                                  <a:noFill/>
                                </a:ln>
                              </pic:spPr>
                            </pic:pic>
                          </a:graphicData>
                        </a:graphic>
                      </wp:inline>
                    </w:drawing>
                  </w:r>
                  <w:r>
                    <w:rPr>
                      <w:sz w:val="21"/>
                      <w:szCs w:val="21"/>
                    </w:rPr>
                    <w:br/>
                  </w:r>
                  <w:r>
                    <w:rPr>
                      <w:rFonts w:ascii="Arial" w:hAnsi="Arial" w:cs="Arial"/>
                      <w:sz w:val="21"/>
                      <w:szCs w:val="21"/>
                    </w:rPr>
                    <w:br/>
                  </w:r>
                  <w:r>
                    <w:rPr>
                      <w:rFonts w:ascii="Arial" w:hAnsi="Arial" w:cs="Arial"/>
                      <w:sz w:val="21"/>
                      <w:szCs w:val="21"/>
                    </w:rPr>
                    <w:t xml:space="preserve">Editorial Contact:       </w:t>
                  </w:r>
                  <w:r>
                    <w:rPr>
                      <w:sz w:val="21"/>
                      <w:szCs w:val="21"/>
                    </w:rPr>
                    <w:br/>
                  </w:r>
                  <w:r>
                    <w:rPr>
                      <w:rFonts w:ascii="Arial" w:hAnsi="Arial" w:cs="Arial"/>
                      <w:sz w:val="21"/>
                      <w:szCs w:val="21"/>
                    </w:rPr>
                    <w:t xml:space="preserve">Yulia Tribrat, Finn Partners (London) | Tel: +44 20 7017 8435 | Email: </w:t>
                  </w:r>
                  <w:hyperlink r:id="rId5" w:history="1">
                    <w:r>
                      <w:rPr>
                        <w:rStyle w:val="Hyperlink"/>
                        <w:rFonts w:ascii="Arial" w:hAnsi="Arial" w:cs="Arial"/>
                        <w:sz w:val="21"/>
                        <w:szCs w:val="21"/>
                      </w:rPr>
                      <w:t>yulia.tribrat@finnpartners.com</w:t>
                    </w:r>
                  </w:hyperlink>
                  <w:r>
                    <w:rPr>
                      <w:rFonts w:ascii="Arial" w:hAnsi="Arial" w:cs="Arial"/>
                      <w:sz w:val="21"/>
                      <w:szCs w:val="21"/>
                    </w:rPr>
                    <w:t xml:space="preserve"> </w:t>
                  </w:r>
                </w:p>
                <w:tbl>
                  <w:tblPr>
                    <w:tblW w:w="1972" w:type="dxa"/>
                    <w:tblCellMar>
                      <w:left w:w="0" w:type="dxa"/>
                      <w:right w:w="0" w:type="dxa"/>
                    </w:tblCellMar>
                    <w:tblLook w:val="04A0" w:firstRow="1" w:lastRow="0" w:firstColumn="1" w:lastColumn="0" w:noHBand="0" w:noVBand="1"/>
                  </w:tblPr>
                  <w:tblGrid>
                    <w:gridCol w:w="493"/>
                    <w:gridCol w:w="493"/>
                    <w:gridCol w:w="493"/>
                    <w:gridCol w:w="493"/>
                  </w:tblGrid>
                  <w:tr w:rsidR="008578AA" w14:paraId="211A11D7" w14:textId="77777777">
                    <w:tc>
                      <w:tcPr>
                        <w:tcW w:w="0" w:type="auto"/>
                        <w:shd w:val="clear" w:color="auto" w:fill="FFFFFF"/>
                        <w:tcMar>
                          <w:top w:w="15" w:type="dxa"/>
                          <w:left w:w="15" w:type="dxa"/>
                          <w:bottom w:w="15" w:type="dxa"/>
                          <w:right w:w="15" w:type="dxa"/>
                        </w:tcMar>
                        <w:vAlign w:val="center"/>
                        <w:hideMark/>
                      </w:tcPr>
                      <w:p w14:paraId="069981E5" w14:textId="2FC6E11C" w:rsidR="008578AA" w:rsidRDefault="008578AA">
                        <w:pPr>
                          <w:spacing w:line="480" w:lineRule="auto"/>
                        </w:pPr>
                        <w:r>
                          <w:rPr>
                            <w:rFonts w:ascii="Arial" w:hAnsi="Arial" w:cs="Arial"/>
                            <w:noProof/>
                            <w:color w:val="0000FF"/>
                            <w:sz w:val="21"/>
                            <w:szCs w:val="21"/>
                          </w:rPr>
                          <w:drawing>
                            <wp:inline distT="0" distB="0" distL="0" distR="0" wp14:anchorId="374A7AB9" wp14:editId="464A69BA">
                              <wp:extent cx="285750" cy="285750"/>
                              <wp:effectExtent l="0" t="0" r="0" b="0"/>
                              <wp:docPr id="5" name="Picture 5" descr="Visit Colder's YouTube channel">
                                <a:hlinkClick xmlns:a="http://schemas.openxmlformats.org/drawingml/2006/main" r:id="rId6" tgtFrame="%22_blank%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sit Colder's YouTube channe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tc>
                    <w:tc>
                      <w:tcPr>
                        <w:tcW w:w="0" w:type="auto"/>
                        <w:shd w:val="clear" w:color="auto" w:fill="FFFFFF"/>
                        <w:tcMar>
                          <w:top w:w="15" w:type="dxa"/>
                          <w:left w:w="15" w:type="dxa"/>
                          <w:bottom w:w="15" w:type="dxa"/>
                          <w:right w:w="15" w:type="dxa"/>
                        </w:tcMar>
                        <w:vAlign w:val="center"/>
                        <w:hideMark/>
                      </w:tcPr>
                      <w:p w14:paraId="4A18E9C2" w14:textId="25AD51E3" w:rsidR="008578AA" w:rsidRDefault="008578AA">
                        <w:pPr>
                          <w:spacing w:line="480" w:lineRule="auto"/>
                        </w:pPr>
                        <w:r>
                          <w:rPr>
                            <w:rFonts w:ascii="Arial" w:hAnsi="Arial" w:cs="Arial"/>
                            <w:noProof/>
                            <w:color w:val="0000FF"/>
                            <w:sz w:val="21"/>
                            <w:szCs w:val="21"/>
                          </w:rPr>
                          <w:drawing>
                            <wp:inline distT="0" distB="0" distL="0" distR="0" wp14:anchorId="3F52DC94" wp14:editId="036DC864">
                              <wp:extent cx="285750" cy="285750"/>
                              <wp:effectExtent l="0" t="0" r="0" b="0"/>
                              <wp:docPr id="4" name="Picture 4" descr="Follow Colder on Twitter">
                                <a:hlinkClick xmlns:a="http://schemas.openxmlformats.org/drawingml/2006/main" r:id="rId8" tgtFrame="%22_blank%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llow Colder on Twitte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tc>
                    <w:tc>
                      <w:tcPr>
                        <w:tcW w:w="0" w:type="auto"/>
                        <w:shd w:val="clear" w:color="auto" w:fill="FFFFFF"/>
                        <w:tcMar>
                          <w:top w:w="15" w:type="dxa"/>
                          <w:left w:w="15" w:type="dxa"/>
                          <w:bottom w:w="15" w:type="dxa"/>
                          <w:right w:w="15" w:type="dxa"/>
                        </w:tcMar>
                        <w:vAlign w:val="center"/>
                        <w:hideMark/>
                      </w:tcPr>
                      <w:p w14:paraId="38CCA0D4" w14:textId="0D153AFF" w:rsidR="008578AA" w:rsidRDefault="008578AA">
                        <w:pPr>
                          <w:spacing w:line="480" w:lineRule="auto"/>
                        </w:pPr>
                        <w:r>
                          <w:rPr>
                            <w:rFonts w:ascii="Arial" w:hAnsi="Arial" w:cs="Arial"/>
                            <w:noProof/>
                            <w:color w:val="0000FF"/>
                            <w:sz w:val="21"/>
                            <w:szCs w:val="21"/>
                          </w:rPr>
                          <w:drawing>
                            <wp:inline distT="0" distB="0" distL="0" distR="0" wp14:anchorId="68E4FDA5" wp14:editId="3201E0AE">
                              <wp:extent cx="285750" cy="285750"/>
                              <wp:effectExtent l="0" t="0" r="0" b="0"/>
                              <wp:docPr id="3" name="Picture 3" descr="Connect with Colder on Linkedin">
                                <a:hlinkClick xmlns:a="http://schemas.openxmlformats.org/drawingml/2006/main" r:id="rId10" tgtFrame="%22_blank%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nnect with Colder on Linkedi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tc>
                    <w:tc>
                      <w:tcPr>
                        <w:tcW w:w="0" w:type="auto"/>
                        <w:shd w:val="clear" w:color="auto" w:fill="FFFFFF"/>
                        <w:tcMar>
                          <w:top w:w="15" w:type="dxa"/>
                          <w:left w:w="15" w:type="dxa"/>
                          <w:bottom w:w="15" w:type="dxa"/>
                          <w:right w:w="15" w:type="dxa"/>
                        </w:tcMar>
                        <w:vAlign w:val="center"/>
                        <w:hideMark/>
                      </w:tcPr>
                      <w:p w14:paraId="1D42A754" w14:textId="423DFF29" w:rsidR="008578AA" w:rsidRDefault="008578AA">
                        <w:pPr>
                          <w:spacing w:line="480" w:lineRule="auto"/>
                        </w:pPr>
                        <w:r>
                          <w:rPr>
                            <w:rFonts w:ascii="Arial" w:hAnsi="Arial" w:cs="Arial"/>
                            <w:noProof/>
                            <w:color w:val="0000FF"/>
                            <w:sz w:val="21"/>
                            <w:szCs w:val="21"/>
                          </w:rPr>
                          <w:drawing>
                            <wp:inline distT="0" distB="0" distL="0" distR="0" wp14:anchorId="33E381A7" wp14:editId="600F33AB">
                              <wp:extent cx="285750" cy="285750"/>
                              <wp:effectExtent l="0" t="0" r="0" b="0"/>
                              <wp:docPr id="2" name="Picture 2" descr="Follow Colder on Facebook">
                                <a:hlinkClick xmlns:a="http://schemas.openxmlformats.org/drawingml/2006/main" r:id="rId12" tgtFrame="%22_blank%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ollow Colder on Facebook"/>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tc>
                  </w:tr>
                </w:tbl>
                <w:p w14:paraId="002B3429" w14:textId="77777777" w:rsidR="008578AA" w:rsidRDefault="008578AA">
                  <w:pPr>
                    <w:pStyle w:val="NormalWeb"/>
                    <w:spacing w:line="480" w:lineRule="auto"/>
                    <w:jc w:val="right"/>
                  </w:pPr>
                  <w:r>
                    <w:rPr>
                      <w:rFonts w:ascii="Arial" w:hAnsi="Arial" w:cs="Arial"/>
                      <w:sz w:val="21"/>
                      <w:szCs w:val="21"/>
                    </w:rPr>
                    <w:t xml:space="preserve">High resolution images available </w:t>
                  </w:r>
                  <w:hyperlink r:id="rId14" w:history="1">
                    <w:r>
                      <w:rPr>
                        <w:rStyle w:val="Hyperlink"/>
                        <w:rFonts w:ascii="Arial" w:hAnsi="Arial" w:cs="Arial"/>
                        <w:sz w:val="21"/>
                        <w:szCs w:val="21"/>
                      </w:rPr>
                      <w:t>here.</w:t>
                    </w:r>
                  </w:hyperlink>
                </w:p>
                <w:p w14:paraId="147CAE36" w14:textId="77777777" w:rsidR="008578AA" w:rsidRDefault="008578AA">
                  <w:pPr>
                    <w:pStyle w:val="NormalWeb"/>
                    <w:spacing w:line="276" w:lineRule="auto"/>
                    <w:jc w:val="center"/>
                  </w:pPr>
                  <w:r>
                    <w:rPr>
                      <w:rStyle w:val="Strong"/>
                      <w:rFonts w:ascii="Arial" w:hAnsi="Arial" w:cs="Arial"/>
                      <w:sz w:val="24"/>
                      <w:szCs w:val="24"/>
                    </w:rPr>
                    <w:t xml:space="preserve">CPC Introduces </w:t>
                  </w:r>
                  <w:proofErr w:type="spellStart"/>
                  <w:r>
                    <w:rPr>
                      <w:rStyle w:val="Strong"/>
                      <w:rFonts w:ascii="Arial" w:hAnsi="Arial" w:cs="Arial"/>
                      <w:sz w:val="24"/>
                      <w:szCs w:val="24"/>
                    </w:rPr>
                    <w:t>MicroCNX</w:t>
                  </w:r>
                  <w:proofErr w:type="spellEnd"/>
                  <w:r>
                    <w:rPr>
                      <w:rStyle w:val="Strong"/>
                      <w:rFonts w:ascii="Arial" w:hAnsi="Arial" w:cs="Arial"/>
                      <w:sz w:val="24"/>
                      <w:szCs w:val="24"/>
                    </w:rPr>
                    <w:t xml:space="preserve">™ Series Connectors at </w:t>
                  </w:r>
                  <w:proofErr w:type="spellStart"/>
                  <w:r>
                    <w:rPr>
                      <w:rStyle w:val="Strong"/>
                      <w:rFonts w:ascii="Arial" w:hAnsi="Arial" w:cs="Arial"/>
                      <w:sz w:val="24"/>
                      <w:szCs w:val="24"/>
                    </w:rPr>
                    <w:t>BioProduction</w:t>
                  </w:r>
                  <w:proofErr w:type="spellEnd"/>
                  <w:r>
                    <w:rPr>
                      <w:rStyle w:val="Strong"/>
                      <w:rFonts w:ascii="Arial" w:hAnsi="Arial" w:cs="Arial"/>
                      <w:sz w:val="24"/>
                      <w:szCs w:val="24"/>
                    </w:rPr>
                    <w:t xml:space="preserve"> 2021</w:t>
                  </w:r>
                </w:p>
                <w:p w14:paraId="0E3412A2" w14:textId="77777777" w:rsidR="008578AA" w:rsidRDefault="008578AA">
                  <w:pPr>
                    <w:pStyle w:val="NormalWeb"/>
                    <w:spacing w:line="276" w:lineRule="auto"/>
                    <w:jc w:val="center"/>
                  </w:pPr>
                  <w:r>
                    <w:rPr>
                      <w:rStyle w:val="Strong"/>
                      <w:rFonts w:ascii="Arial" w:hAnsi="Arial" w:cs="Arial"/>
                      <w:i/>
                      <w:iCs/>
                      <w:sz w:val="21"/>
                      <w:szCs w:val="21"/>
                    </w:rPr>
                    <w:t>Only alternative to tube welding for small-volume biopharma processing</w:t>
                  </w:r>
                </w:p>
                <w:p w14:paraId="7EBB777E" w14:textId="77777777" w:rsidR="008578AA" w:rsidRDefault="008578AA">
                  <w:pPr>
                    <w:pStyle w:val="NormalWeb"/>
                    <w:spacing w:line="276" w:lineRule="auto"/>
                  </w:pPr>
                  <w:r>
                    <w:rPr>
                      <w:rStyle w:val="Strong"/>
                      <w:rFonts w:ascii="Arial" w:hAnsi="Arial" w:cs="Arial"/>
                      <w:i/>
                      <w:iCs/>
                      <w:sz w:val="21"/>
                      <w:szCs w:val="21"/>
                    </w:rPr>
                    <w:t> </w:t>
                  </w:r>
                  <w:r>
                    <w:rPr>
                      <w:rStyle w:val="Strong"/>
                      <w:rFonts w:ascii="Arial" w:hAnsi="Arial" w:cs="Arial"/>
                      <w:sz w:val="21"/>
                      <w:szCs w:val="21"/>
                    </w:rPr>
                    <w:t>St. Paul, Minn. – 02.11.2022</w:t>
                  </w:r>
                  <w:r>
                    <w:rPr>
                      <w:rFonts w:ascii="Arial" w:hAnsi="Arial" w:cs="Arial"/>
                      <w:sz w:val="21"/>
                      <w:szCs w:val="21"/>
                    </w:rPr>
                    <w:t xml:space="preserve"> – CPC, maker of </w:t>
                  </w:r>
                  <w:hyperlink r:id="rId15" w:history="1">
                    <w:proofErr w:type="spellStart"/>
                    <w:r>
                      <w:rPr>
                        <w:rStyle w:val="Hyperlink"/>
                        <w:rFonts w:ascii="Arial" w:hAnsi="Arial" w:cs="Arial"/>
                        <w:color w:val="000000"/>
                        <w:sz w:val="21"/>
                        <w:szCs w:val="21"/>
                      </w:rPr>
                      <w:t>AseptiQuik</w:t>
                    </w:r>
                    <w:proofErr w:type="spellEnd"/>
                    <w:r>
                      <w:rPr>
                        <w:rStyle w:val="Hyperlink"/>
                        <w:rFonts w:ascii="Arial" w:hAnsi="Arial" w:cs="Arial"/>
                        <w:color w:val="000000"/>
                        <w:sz w:val="21"/>
                        <w:szCs w:val="21"/>
                        <w:vertAlign w:val="superscript"/>
                      </w:rPr>
                      <w:t>®</w:t>
                    </w:r>
                    <w:r>
                      <w:rPr>
                        <w:rStyle w:val="Hyperlink"/>
                        <w:rFonts w:ascii="Arial" w:hAnsi="Arial" w:cs="Arial"/>
                        <w:color w:val="000000"/>
                        <w:sz w:val="21"/>
                        <w:szCs w:val="21"/>
                      </w:rPr>
                      <w:t xml:space="preserve"> Series Connectors</w:t>
                    </w:r>
                  </w:hyperlink>
                  <w:r>
                    <w:rPr>
                      <w:rFonts w:ascii="Arial" w:hAnsi="Arial" w:cs="Arial"/>
                      <w:sz w:val="21"/>
                      <w:szCs w:val="21"/>
                    </w:rPr>
                    <w:t xml:space="preserve">, will unveil its brand new, ultra-compact </w:t>
                  </w:r>
                  <w:hyperlink r:id="rId16" w:history="1">
                    <w:proofErr w:type="spellStart"/>
                    <w:r>
                      <w:rPr>
                        <w:rStyle w:val="Hyperlink"/>
                        <w:rFonts w:ascii="Arial" w:hAnsi="Arial" w:cs="Arial"/>
                        <w:color w:val="000000"/>
                        <w:sz w:val="21"/>
                        <w:szCs w:val="21"/>
                      </w:rPr>
                      <w:t>MicroCNX</w:t>
                    </w:r>
                    <w:proofErr w:type="spellEnd"/>
                    <w:r>
                      <w:rPr>
                        <w:rStyle w:val="Hyperlink"/>
                        <w:rFonts w:ascii="Arial" w:hAnsi="Arial" w:cs="Arial"/>
                        <w:color w:val="000000"/>
                        <w:sz w:val="21"/>
                        <w:szCs w:val="21"/>
                      </w:rPr>
                      <w:t>™ Series Connectors</w:t>
                    </w:r>
                  </w:hyperlink>
                  <w:r>
                    <w:rPr>
                      <w:rFonts w:ascii="Arial" w:hAnsi="Arial" w:cs="Arial"/>
                      <w:sz w:val="21"/>
                      <w:szCs w:val="21"/>
                    </w:rPr>
                    <w:t xml:space="preserve"> to the European market at </w:t>
                  </w:r>
                  <w:proofErr w:type="spellStart"/>
                  <w:r>
                    <w:rPr>
                      <w:rFonts w:ascii="Arial" w:hAnsi="Arial" w:cs="Arial"/>
                      <w:sz w:val="21"/>
                      <w:szCs w:val="21"/>
                    </w:rPr>
                    <w:t>BioProduction</w:t>
                  </w:r>
                  <w:proofErr w:type="spellEnd"/>
                  <w:r>
                    <w:rPr>
                      <w:rFonts w:ascii="Arial" w:hAnsi="Arial" w:cs="Arial"/>
                      <w:sz w:val="21"/>
                      <w:szCs w:val="21"/>
                    </w:rPr>
                    <w:t xml:space="preserve"> 2021 in Milan, Italy, 9-11 November. </w:t>
                  </w:r>
                  <w:proofErr w:type="spellStart"/>
                  <w:r>
                    <w:rPr>
                      <w:rFonts w:ascii="Arial" w:hAnsi="Arial" w:cs="Arial"/>
                      <w:sz w:val="21"/>
                      <w:szCs w:val="21"/>
                    </w:rPr>
                    <w:t>MicroCNX</w:t>
                  </w:r>
                  <w:proofErr w:type="spellEnd"/>
                  <w:r>
                    <w:rPr>
                      <w:rFonts w:ascii="Arial" w:hAnsi="Arial" w:cs="Arial"/>
                      <w:sz w:val="21"/>
                      <w:szCs w:val="21"/>
                    </w:rPr>
                    <w:t xml:space="preserve"> connectors are the biopharmaceutical industry’s first and much-needed alternative to tube welding for their small-volume closed aseptic processes. </w:t>
                  </w:r>
                  <w:proofErr w:type="spellStart"/>
                  <w:r>
                    <w:rPr>
                      <w:rFonts w:ascii="Arial" w:hAnsi="Arial" w:cs="Arial"/>
                      <w:sz w:val="21"/>
                      <w:szCs w:val="21"/>
                    </w:rPr>
                    <w:t>MicroCNX</w:t>
                  </w:r>
                  <w:proofErr w:type="spellEnd"/>
                  <w:r>
                    <w:rPr>
                      <w:rFonts w:ascii="Arial" w:hAnsi="Arial" w:cs="Arial"/>
                      <w:sz w:val="21"/>
                      <w:szCs w:val="21"/>
                    </w:rPr>
                    <w:t xml:space="preserve"> connectors will be showcased alongside the </w:t>
                  </w:r>
                  <w:proofErr w:type="spellStart"/>
                  <w:r>
                    <w:rPr>
                      <w:rFonts w:ascii="Arial" w:hAnsi="Arial" w:cs="Arial"/>
                      <w:sz w:val="21"/>
                      <w:szCs w:val="21"/>
                    </w:rPr>
                    <w:t>AseptiQuik</w:t>
                  </w:r>
                  <w:proofErr w:type="spellEnd"/>
                  <w:r>
                    <w:rPr>
                      <w:rFonts w:ascii="Arial" w:hAnsi="Arial" w:cs="Arial"/>
                      <w:sz w:val="21"/>
                      <w:szCs w:val="21"/>
                    </w:rPr>
                    <w:t xml:space="preserve"> product line in Hall 4 (Booth G64).</w:t>
                  </w:r>
                </w:p>
                <w:p w14:paraId="78E41A55" w14:textId="38F1D680" w:rsidR="008578AA" w:rsidRDefault="008578AA">
                  <w:pPr>
                    <w:pStyle w:val="NormalWeb"/>
                    <w:spacing w:line="276" w:lineRule="auto"/>
                  </w:pPr>
                  <w:r>
                    <w:rPr>
                      <w:rFonts w:ascii="Arial" w:hAnsi="Arial" w:cs="Arial"/>
                      <w:sz w:val="21"/>
                      <w:szCs w:val="21"/>
                    </w:rPr>
                    <w:t xml:space="preserve">                                                                                                              </w:t>
                  </w:r>
                  <w:r>
                    <w:rPr>
                      <w:rFonts w:ascii="Arial" w:hAnsi="Arial" w:cs="Arial"/>
                      <w:noProof/>
                      <w:sz w:val="21"/>
                      <w:szCs w:val="21"/>
                    </w:rPr>
                    <w:drawing>
                      <wp:inline distT="0" distB="0" distL="0" distR="0" wp14:anchorId="39F1ADEC" wp14:editId="311976DD">
                        <wp:extent cx="2857500" cy="1676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2857500" cy="1676400"/>
                                </a:xfrm>
                                <a:prstGeom prst="rect">
                                  <a:avLst/>
                                </a:prstGeom>
                                <a:noFill/>
                                <a:ln>
                                  <a:noFill/>
                                </a:ln>
                              </pic:spPr>
                            </pic:pic>
                          </a:graphicData>
                        </a:graphic>
                      </wp:inline>
                    </w:drawing>
                  </w:r>
                </w:p>
                <w:p w14:paraId="61D32125" w14:textId="77777777" w:rsidR="008578AA" w:rsidRDefault="008578AA">
                  <w:pPr>
                    <w:pStyle w:val="NormalWeb"/>
                    <w:spacing w:line="276" w:lineRule="auto"/>
                  </w:pPr>
                  <w:r>
                    <w:rPr>
                      <w:rFonts w:ascii="Arial" w:hAnsi="Arial" w:cs="Arial"/>
                      <w:sz w:val="21"/>
                      <w:szCs w:val="21"/>
                    </w:rPr>
                    <w:t>“</w:t>
                  </w:r>
                  <w:proofErr w:type="spellStart"/>
                  <w:r>
                    <w:rPr>
                      <w:rFonts w:ascii="Arial" w:hAnsi="Arial" w:cs="Arial"/>
                      <w:sz w:val="21"/>
                      <w:szCs w:val="21"/>
                    </w:rPr>
                    <w:t>MicroCNX</w:t>
                  </w:r>
                  <w:proofErr w:type="spellEnd"/>
                  <w:r>
                    <w:rPr>
                      <w:rFonts w:ascii="Arial" w:hAnsi="Arial" w:cs="Arial"/>
                      <w:sz w:val="21"/>
                      <w:szCs w:val="21"/>
                    </w:rPr>
                    <w:t xml:space="preserve"> connectors are a critically important option for a range of bioprocessing, cell therapy and gene therapy workflows,” said Troy Ostreng, senior product manager for CPC’s biopharmaceutical business. “Until now, cumbersome tube welding has been the only way to make sterile closed connections of very small-bore tubing. The </w:t>
                  </w:r>
                  <w:proofErr w:type="spellStart"/>
                  <w:r>
                    <w:rPr>
                      <w:rFonts w:ascii="Arial" w:hAnsi="Arial" w:cs="Arial"/>
                      <w:sz w:val="21"/>
                      <w:szCs w:val="21"/>
                    </w:rPr>
                    <w:t>MicroCNX</w:t>
                  </w:r>
                  <w:proofErr w:type="spellEnd"/>
                  <w:r>
                    <w:rPr>
                      <w:rFonts w:ascii="Arial" w:hAnsi="Arial" w:cs="Arial"/>
                      <w:sz w:val="21"/>
                      <w:szCs w:val="21"/>
                    </w:rPr>
                    <w:t xml:space="preserve"> connector represents a huge innovation for the industry.” </w:t>
                  </w:r>
                </w:p>
                <w:p w14:paraId="7BAB626D" w14:textId="77777777" w:rsidR="008578AA" w:rsidRDefault="008578AA">
                  <w:pPr>
                    <w:pStyle w:val="NormalWeb"/>
                    <w:spacing w:line="276" w:lineRule="auto"/>
                  </w:pPr>
                  <w:proofErr w:type="spellStart"/>
                  <w:r>
                    <w:rPr>
                      <w:rFonts w:ascii="Arial" w:hAnsi="Arial" w:cs="Arial"/>
                      <w:sz w:val="21"/>
                      <w:szCs w:val="21"/>
                    </w:rPr>
                    <w:lastRenderedPageBreak/>
                    <w:t>MicroCNX</w:t>
                  </w:r>
                  <w:proofErr w:type="spellEnd"/>
                  <w:r>
                    <w:rPr>
                      <w:rFonts w:ascii="Arial" w:hAnsi="Arial" w:cs="Arial"/>
                      <w:sz w:val="21"/>
                      <w:szCs w:val="21"/>
                    </w:rPr>
                    <w:t xml:space="preserve"> connectors are designed specifically for small-volume processes involving widely used 1.6mm (1/16”), 2.4mm (3/32”) and 3.2mm (1/8”) tubing. These include sampling, seed train expansion and early cell culture processes involving shaker flasks and rocker tables.</w:t>
                  </w:r>
                </w:p>
                <w:p w14:paraId="78EBF591" w14:textId="77777777" w:rsidR="008578AA" w:rsidRDefault="008578AA">
                  <w:pPr>
                    <w:pStyle w:val="NormalWeb"/>
                    <w:spacing w:line="276" w:lineRule="auto"/>
                  </w:pPr>
                  <w:r>
                    <w:rPr>
                      <w:rFonts w:ascii="Arial" w:hAnsi="Arial" w:cs="Arial"/>
                      <w:sz w:val="21"/>
                      <w:szCs w:val="21"/>
                    </w:rPr>
                    <w:t>Testing indicates that making a sterile connection with the new connector is up to four times faster than an operator using a tube welder.</w:t>
                  </w:r>
                  <w:r>
                    <w:rPr>
                      <w:rFonts w:ascii="Arial" w:hAnsi="Arial" w:cs="Arial"/>
                      <w:sz w:val="21"/>
                      <w:szCs w:val="21"/>
                      <w:vertAlign w:val="superscript"/>
                    </w:rPr>
                    <w:t xml:space="preserve">1 </w:t>
                  </w:r>
                  <w:r>
                    <w:rPr>
                      <w:rFonts w:ascii="Arial" w:hAnsi="Arial" w:cs="Arial"/>
                      <w:sz w:val="21"/>
                      <w:szCs w:val="21"/>
                    </w:rPr>
                    <w:t xml:space="preserve">Multiply those numbers over the course of a year, and the operational efficiencies are clear. </w:t>
                  </w:r>
                </w:p>
                <w:p w14:paraId="0F38B331" w14:textId="77777777" w:rsidR="008578AA" w:rsidRDefault="008578AA">
                  <w:pPr>
                    <w:pStyle w:val="NormalWeb"/>
                    <w:spacing w:line="276" w:lineRule="auto"/>
                  </w:pPr>
                  <w:r>
                    <w:rPr>
                      <w:rFonts w:ascii="Arial" w:hAnsi="Arial" w:cs="Arial"/>
                      <w:sz w:val="21"/>
                      <w:szCs w:val="21"/>
                    </w:rPr>
                    <w:t xml:space="preserve">The easy, three-step process for using </w:t>
                  </w:r>
                  <w:proofErr w:type="spellStart"/>
                  <w:r>
                    <w:rPr>
                      <w:rFonts w:ascii="Arial" w:hAnsi="Arial" w:cs="Arial"/>
                      <w:sz w:val="21"/>
                      <w:szCs w:val="21"/>
                    </w:rPr>
                    <w:t>MicroCNX</w:t>
                  </w:r>
                  <w:proofErr w:type="spellEnd"/>
                  <w:r>
                    <w:rPr>
                      <w:rFonts w:ascii="Arial" w:hAnsi="Arial" w:cs="Arial"/>
                      <w:sz w:val="21"/>
                      <w:szCs w:val="21"/>
                    </w:rPr>
                    <w:t xml:space="preserve"> connectors requires minimal training. Users simply “Pinch-Click-Pull”: 1) pinch to remove the protective cover; 2) click together the connector halves; and 3) pull out the protective membranes so flow can start. In comparison, tube welding involves a dozen or more steps, with operator challenges including maneuvering the tube welder into position, dealing with equipment maintenance, and requiring precise technique to create a successful weld. With </w:t>
                  </w:r>
                  <w:proofErr w:type="spellStart"/>
                  <w:r>
                    <w:rPr>
                      <w:rFonts w:ascii="Arial" w:hAnsi="Arial" w:cs="Arial"/>
                      <w:sz w:val="21"/>
                      <w:szCs w:val="21"/>
                    </w:rPr>
                    <w:t>MicroCNX</w:t>
                  </w:r>
                  <w:proofErr w:type="spellEnd"/>
                  <w:r>
                    <w:rPr>
                      <w:rFonts w:ascii="Arial" w:hAnsi="Arial" w:cs="Arial"/>
                      <w:sz w:val="21"/>
                      <w:szCs w:val="21"/>
                    </w:rPr>
                    <w:t xml:space="preserve"> solutions, there is no risk of faulty welds, welder breakdowns, or production delays due to weld equipment downtime.</w:t>
                  </w:r>
                </w:p>
                <w:p w14:paraId="0D3F077E" w14:textId="77777777" w:rsidR="008578AA" w:rsidRDefault="008578AA">
                  <w:pPr>
                    <w:pStyle w:val="NormalWeb"/>
                    <w:spacing w:line="276" w:lineRule="auto"/>
                  </w:pPr>
                  <w:r>
                    <w:rPr>
                      <w:rFonts w:ascii="Arial" w:hAnsi="Arial" w:cs="Arial"/>
                      <w:sz w:val="21"/>
                      <w:szCs w:val="21"/>
                    </w:rPr>
                    <w:t xml:space="preserve">Use of aseptic connectors eliminates the need to purchase, calibrate, </w:t>
                  </w:r>
                  <w:proofErr w:type="gramStart"/>
                  <w:r>
                    <w:rPr>
                      <w:rFonts w:ascii="Arial" w:hAnsi="Arial" w:cs="Arial"/>
                      <w:sz w:val="21"/>
                      <w:szCs w:val="21"/>
                    </w:rPr>
                    <w:t>validate</w:t>
                  </w:r>
                  <w:proofErr w:type="gramEnd"/>
                  <w:r>
                    <w:rPr>
                      <w:rFonts w:ascii="Arial" w:hAnsi="Arial" w:cs="Arial"/>
                      <w:sz w:val="21"/>
                      <w:szCs w:val="21"/>
                    </w:rPr>
                    <w:t xml:space="preserve"> and maintain tube welders that can cost more than €12,700 ($15,000) each. Manufacturers often need multiple welders, which take up valuable space in a cleanroom. </w:t>
                  </w:r>
                </w:p>
                <w:p w14:paraId="460F1216" w14:textId="77777777" w:rsidR="008578AA" w:rsidRDefault="008578AA">
                  <w:pPr>
                    <w:pStyle w:val="NormalWeb"/>
                    <w:spacing w:line="276" w:lineRule="auto"/>
                  </w:pPr>
                  <w:r>
                    <w:rPr>
                      <w:rFonts w:ascii="Arial" w:hAnsi="Arial" w:cs="Arial"/>
                      <w:sz w:val="21"/>
                      <w:szCs w:val="21"/>
                    </w:rPr>
                    <w:t>“</w:t>
                  </w:r>
                  <w:proofErr w:type="spellStart"/>
                  <w:r>
                    <w:rPr>
                      <w:rFonts w:ascii="Arial" w:hAnsi="Arial" w:cs="Arial"/>
                      <w:sz w:val="21"/>
                      <w:szCs w:val="21"/>
                    </w:rPr>
                    <w:t>MicroCNX</w:t>
                  </w:r>
                  <w:proofErr w:type="spellEnd"/>
                  <w:r>
                    <w:rPr>
                      <w:rFonts w:ascii="Arial" w:hAnsi="Arial" w:cs="Arial"/>
                      <w:sz w:val="21"/>
                      <w:szCs w:val="21"/>
                    </w:rPr>
                    <w:t xml:space="preserve"> connectors can help biopharmaceutical and cell and gene therapy manufacturers make the most of their existing cleanroom space,” Ostreng noted.</w:t>
                  </w:r>
                </w:p>
                <w:p w14:paraId="4B35C15D" w14:textId="77777777" w:rsidR="008578AA" w:rsidRDefault="008578AA">
                  <w:pPr>
                    <w:pStyle w:val="NormalWeb"/>
                    <w:spacing w:line="276" w:lineRule="auto"/>
                  </w:pPr>
                  <w:proofErr w:type="spellStart"/>
                  <w:r>
                    <w:rPr>
                      <w:rFonts w:ascii="Arial" w:hAnsi="Arial" w:cs="Arial"/>
                      <w:sz w:val="21"/>
                      <w:szCs w:val="21"/>
                    </w:rPr>
                    <w:t>MicroCNX</w:t>
                  </w:r>
                  <w:proofErr w:type="spellEnd"/>
                  <w:r>
                    <w:rPr>
                      <w:rFonts w:ascii="Arial" w:hAnsi="Arial" w:cs="Arial"/>
                      <w:sz w:val="21"/>
                      <w:szCs w:val="21"/>
                    </w:rPr>
                    <w:t xml:space="preserve"> connectors can be incorporated into pre-made tubing assemblies, so operators know where to make connections—there’s no guesswork on their part, which supports current good manufacturing practices (cGMP). The size, weight and geometry of the new connector also fit well with the trend toward compact automated equipment for use in processes like cell expansion.  </w:t>
                  </w:r>
                </w:p>
                <w:p w14:paraId="6847F1C9" w14:textId="77777777" w:rsidR="008578AA" w:rsidRDefault="008578AA">
                  <w:pPr>
                    <w:pStyle w:val="NormalWeb"/>
                    <w:spacing w:line="276" w:lineRule="auto"/>
                  </w:pPr>
                  <w:r>
                    <w:rPr>
                      <w:rStyle w:val="Emphasis"/>
                      <w:rFonts w:ascii="Arial" w:hAnsi="Arial" w:cs="Arial"/>
                      <w:sz w:val="21"/>
                      <w:szCs w:val="21"/>
                    </w:rPr>
                    <w:t xml:space="preserve">For more information about </w:t>
                  </w:r>
                  <w:proofErr w:type="spellStart"/>
                  <w:r>
                    <w:rPr>
                      <w:rStyle w:val="Emphasis"/>
                      <w:rFonts w:ascii="Arial" w:hAnsi="Arial" w:cs="Arial"/>
                      <w:sz w:val="21"/>
                      <w:szCs w:val="21"/>
                    </w:rPr>
                    <w:t>MicroCNX</w:t>
                  </w:r>
                  <w:proofErr w:type="spellEnd"/>
                  <w:r>
                    <w:rPr>
                      <w:rStyle w:val="Emphasis"/>
                      <w:rFonts w:ascii="Arial" w:hAnsi="Arial" w:cs="Arial"/>
                      <w:sz w:val="21"/>
                      <w:szCs w:val="21"/>
                    </w:rPr>
                    <w:t xml:space="preserve"> Series Connectors and how tube welding and aseptic connectors compare, visit </w:t>
                  </w:r>
                  <w:hyperlink r:id="rId19" w:history="1">
                    <w:r>
                      <w:rPr>
                        <w:rStyle w:val="Emphasis"/>
                        <w:rFonts w:ascii="Arial" w:hAnsi="Arial" w:cs="Arial"/>
                        <w:color w:val="0000FF"/>
                        <w:sz w:val="21"/>
                        <w:szCs w:val="21"/>
                      </w:rPr>
                      <w:t>endoftheweld.com</w:t>
                    </w:r>
                  </w:hyperlink>
                  <w:r>
                    <w:rPr>
                      <w:rStyle w:val="Emphasis"/>
                      <w:rFonts w:ascii="Arial" w:hAnsi="Arial" w:cs="Arial"/>
                      <w:sz w:val="21"/>
                      <w:szCs w:val="21"/>
                    </w:rPr>
                    <w:t xml:space="preserve">. To arrange a one-to-one meeting with a CPC expert at </w:t>
                  </w:r>
                  <w:proofErr w:type="spellStart"/>
                  <w:r>
                    <w:rPr>
                      <w:rStyle w:val="Emphasis"/>
                      <w:rFonts w:ascii="Arial" w:hAnsi="Arial" w:cs="Arial"/>
                      <w:sz w:val="21"/>
                      <w:szCs w:val="21"/>
                    </w:rPr>
                    <w:t>BioProduction</w:t>
                  </w:r>
                  <w:proofErr w:type="spellEnd"/>
                  <w:r>
                    <w:rPr>
                      <w:rStyle w:val="Emphasis"/>
                      <w:rFonts w:ascii="Arial" w:hAnsi="Arial" w:cs="Arial"/>
                      <w:sz w:val="21"/>
                      <w:szCs w:val="21"/>
                    </w:rPr>
                    <w:t xml:space="preserve"> 2021, please contact Yulia Tribrat at </w:t>
                  </w:r>
                  <w:hyperlink r:id="rId20" w:history="1">
                    <w:r>
                      <w:rPr>
                        <w:rStyle w:val="Emphasis"/>
                        <w:rFonts w:ascii="Arial" w:hAnsi="Arial" w:cs="Arial"/>
                        <w:color w:val="0000FF"/>
                        <w:sz w:val="21"/>
                        <w:szCs w:val="21"/>
                        <w:u w:val="single"/>
                      </w:rPr>
                      <w:t>yulia.tribrat@finnpartners.com</w:t>
                    </w:r>
                  </w:hyperlink>
                  <w:r>
                    <w:rPr>
                      <w:rStyle w:val="Emphasis"/>
                      <w:rFonts w:ascii="Arial" w:hAnsi="Arial" w:cs="Arial"/>
                      <w:sz w:val="21"/>
                      <w:szCs w:val="21"/>
                    </w:rPr>
                    <w:t xml:space="preserve"> in advance or drop by booth G64 in Hall 4.</w:t>
                  </w:r>
                </w:p>
                <w:p w14:paraId="2BE86236" w14:textId="67367F2B" w:rsidR="008578AA" w:rsidRDefault="008578AA" w:rsidP="008578AA">
                  <w:pPr>
                    <w:pStyle w:val="NormalWeb"/>
                    <w:spacing w:line="276" w:lineRule="auto"/>
                  </w:pPr>
                  <w:r>
                    <w:rPr>
                      <w:rStyle w:val="Emphasis"/>
                      <w:rFonts w:ascii="Arial" w:hAnsi="Arial" w:cs="Arial"/>
                      <w:sz w:val="21"/>
                      <w:szCs w:val="21"/>
                    </w:rPr>
                    <w:t> </w:t>
                  </w:r>
                  <w:r>
                    <w:rPr>
                      <w:rFonts w:ascii="Arial" w:hAnsi="Arial" w:cs="Arial"/>
                      <w:sz w:val="21"/>
                      <w:szCs w:val="21"/>
                    </w:rPr>
                    <w:t>1. Data on file.</w:t>
                  </w:r>
                  <w:r>
                    <w:rPr>
                      <w:sz w:val="21"/>
                      <w:szCs w:val="21"/>
                    </w:rPr>
                    <w:br/>
                    <w:t xml:space="preserve">                                                                                             </w:t>
                  </w:r>
                  <w:r>
                    <w:rPr>
                      <w:rFonts w:ascii="Arial" w:hAnsi="Arial" w:cs="Arial"/>
                      <w:sz w:val="21"/>
                      <w:szCs w:val="21"/>
                    </w:rPr>
                    <w:t># # #</w:t>
                  </w:r>
                </w:p>
                <w:p w14:paraId="306F514E" w14:textId="2D055BE2" w:rsidR="008578AA" w:rsidRPr="008578AA" w:rsidRDefault="008578AA">
                  <w:pPr>
                    <w:pStyle w:val="NormalWeb"/>
                    <w:rPr>
                      <w:sz w:val="20"/>
                      <w:szCs w:val="20"/>
                    </w:rPr>
                  </w:pPr>
                  <w:bookmarkStart w:id="0" w:name="_Hlk29214143"/>
                  <w:r w:rsidRPr="008578AA">
                    <w:rPr>
                      <w:rStyle w:val="Strong"/>
                      <w:rFonts w:ascii="Arial" w:hAnsi="Arial" w:cs="Arial"/>
                      <w:sz w:val="20"/>
                      <w:szCs w:val="20"/>
                    </w:rPr>
                    <w:t xml:space="preserve">About CPC Biopharma </w:t>
                  </w:r>
                  <w:bookmarkEnd w:id="0"/>
                  <w:r>
                    <w:rPr>
                      <w:rStyle w:val="Strong"/>
                    </w:rPr>
                    <w:br/>
                  </w:r>
                  <w:r w:rsidRPr="008578AA">
                    <w:rPr>
                      <w:rFonts w:ascii="Arial" w:hAnsi="Arial" w:cs="Arial"/>
                      <w:sz w:val="18"/>
                      <w:szCs w:val="18"/>
                    </w:rPr>
                    <w:t xml:space="preserve">CPC (Colder Products Company) is a global leader in </w:t>
                  </w:r>
                  <w:proofErr w:type="spellStart"/>
                  <w:r w:rsidRPr="008578AA">
                    <w:rPr>
                      <w:rFonts w:ascii="Arial" w:hAnsi="Arial" w:cs="Arial"/>
                      <w:sz w:val="18"/>
                      <w:szCs w:val="18"/>
                    </w:rPr>
                    <w:t>single-use</w:t>
                  </w:r>
                  <w:proofErr w:type="spellEnd"/>
                  <w:r w:rsidRPr="008578AA">
                    <w:rPr>
                      <w:rFonts w:ascii="Arial" w:hAnsi="Arial" w:cs="Arial"/>
                      <w:sz w:val="18"/>
                      <w:szCs w:val="18"/>
                    </w:rPr>
                    <w:t xml:space="preserve"> connection technology, offering a wide variety of connectors for biopharmaceutical manufacturing. Innovative, flexible designs easily combine multiple components and systems including process containers, tubing manifolds, transfer lines, </w:t>
                  </w:r>
                  <w:proofErr w:type="gramStart"/>
                  <w:r w:rsidRPr="008578AA">
                    <w:rPr>
                      <w:rFonts w:ascii="Arial" w:hAnsi="Arial" w:cs="Arial"/>
                      <w:sz w:val="18"/>
                      <w:szCs w:val="18"/>
                    </w:rPr>
                    <w:t>bioreactors</w:t>
                  </w:r>
                  <w:proofErr w:type="gramEnd"/>
                  <w:r w:rsidRPr="008578AA">
                    <w:rPr>
                      <w:rFonts w:ascii="Arial" w:hAnsi="Arial" w:cs="Arial"/>
                      <w:sz w:val="18"/>
                      <w:szCs w:val="18"/>
                    </w:rPr>
                    <w:t xml:space="preserve"> and other bioprocess equipment. Robust </w:t>
                  </w:r>
                  <w:proofErr w:type="spellStart"/>
                  <w:r w:rsidRPr="008578AA">
                    <w:rPr>
                      <w:rFonts w:ascii="Arial" w:hAnsi="Arial" w:cs="Arial"/>
                      <w:sz w:val="18"/>
                      <w:szCs w:val="18"/>
                    </w:rPr>
                    <w:t>single-use</w:t>
                  </w:r>
                  <w:proofErr w:type="spellEnd"/>
                  <w:r w:rsidRPr="008578AA">
                    <w:rPr>
                      <w:rFonts w:ascii="Arial" w:hAnsi="Arial" w:cs="Arial"/>
                      <w:sz w:val="18"/>
                      <w:szCs w:val="18"/>
                    </w:rPr>
                    <w:t xml:space="preserve"> connectors maintain media sterility and integrity while improving production yields, decreasing time to </w:t>
                  </w:r>
                  <w:proofErr w:type="gramStart"/>
                  <w:r w:rsidRPr="008578AA">
                    <w:rPr>
                      <w:rFonts w:ascii="Arial" w:hAnsi="Arial" w:cs="Arial"/>
                      <w:sz w:val="18"/>
                      <w:szCs w:val="18"/>
                    </w:rPr>
                    <w:t>market</w:t>
                  </w:r>
                  <w:proofErr w:type="gramEnd"/>
                  <w:r w:rsidRPr="008578AA">
                    <w:rPr>
                      <w:rFonts w:ascii="Arial" w:hAnsi="Arial" w:cs="Arial"/>
                      <w:sz w:val="18"/>
                      <w:szCs w:val="18"/>
                    </w:rPr>
                    <w:t xml:space="preserve"> and reducing costs. The company’s well-known </w:t>
                  </w:r>
                  <w:proofErr w:type="spellStart"/>
                  <w:r w:rsidRPr="008578AA">
                    <w:rPr>
                      <w:rFonts w:ascii="Arial" w:hAnsi="Arial" w:cs="Arial"/>
                      <w:sz w:val="18"/>
                      <w:szCs w:val="18"/>
                    </w:rPr>
                    <w:t>AseptiQuik</w:t>
                  </w:r>
                  <w:proofErr w:type="spellEnd"/>
                  <w:r w:rsidRPr="008578AA">
                    <w:rPr>
                      <w:rFonts w:ascii="Arial" w:hAnsi="Arial" w:cs="Arial"/>
                      <w:sz w:val="18"/>
                      <w:szCs w:val="18"/>
                      <w:vertAlign w:val="superscript"/>
                    </w:rPr>
                    <w:t>®</w:t>
                  </w:r>
                  <w:r w:rsidRPr="008578AA">
                    <w:rPr>
                      <w:rFonts w:ascii="Arial" w:hAnsi="Arial" w:cs="Arial"/>
                      <w:sz w:val="18"/>
                      <w:szCs w:val="18"/>
                    </w:rPr>
                    <w:t xml:space="preserve"> connectors provide quick and easy sterile connections even in non-sterile environments. Learn more about our entire portfolio at </w:t>
                  </w:r>
                  <w:hyperlink r:id="rId21" w:tgtFrame="_blank" w:history="1">
                    <w:r w:rsidRPr="008578AA">
                      <w:rPr>
                        <w:rStyle w:val="Hyperlink"/>
                        <w:rFonts w:ascii="Arial" w:hAnsi="Arial" w:cs="Arial"/>
                        <w:color w:val="000000"/>
                        <w:sz w:val="18"/>
                        <w:szCs w:val="18"/>
                      </w:rPr>
                      <w:t>cpcworldwide.com/bio</w:t>
                    </w:r>
                  </w:hyperlink>
                  <w:r w:rsidRPr="008578AA">
                    <w:rPr>
                      <w:rFonts w:ascii="Arial" w:hAnsi="Arial" w:cs="Arial"/>
                      <w:sz w:val="18"/>
                      <w:szCs w:val="18"/>
                    </w:rPr>
                    <w:t xml:space="preserve">. Connect with confidence with CPC, an operating company within Dover Corporation. </w:t>
                  </w:r>
                </w:p>
                <w:p w14:paraId="3A6E64E3" w14:textId="21E676EC" w:rsidR="008578AA" w:rsidRPr="008578AA" w:rsidRDefault="008578AA" w:rsidP="008578AA">
                  <w:pPr>
                    <w:pStyle w:val="NormalWeb"/>
                    <w:jc w:val="center"/>
                    <w:rPr>
                      <w:sz w:val="18"/>
                      <w:szCs w:val="18"/>
                    </w:rPr>
                  </w:pPr>
                  <w:r w:rsidRPr="008578AA">
                    <w:rPr>
                      <w:rFonts w:ascii="Arial" w:hAnsi="Arial" w:cs="Arial"/>
                      <w:sz w:val="18"/>
                      <w:szCs w:val="18"/>
                    </w:rPr>
                    <w:t> CPC, Colder Products, Colder Products Company and Dover are registered trademarks</w:t>
                  </w:r>
                  <w:r w:rsidRPr="008578AA">
                    <w:rPr>
                      <w:rFonts w:ascii="Arial" w:hAnsi="Arial" w:cs="Arial"/>
                      <w:sz w:val="18"/>
                      <w:szCs w:val="18"/>
                    </w:rPr>
                    <w:br/>
                    <w:t>with the U.S. Patent &amp; Trademark office.</w:t>
                  </w:r>
                </w:p>
              </w:tc>
            </w:tr>
          </w:tbl>
          <w:p w14:paraId="698B8EEC" w14:textId="77777777" w:rsidR="008578AA" w:rsidRDefault="008578AA">
            <w:pPr>
              <w:jc w:val="center"/>
              <w:rPr>
                <w:rFonts w:ascii="Times New Roman" w:eastAsia="Times New Roman" w:hAnsi="Times New Roman" w:cs="Times New Roman"/>
                <w:sz w:val="20"/>
                <w:szCs w:val="20"/>
              </w:rPr>
            </w:pPr>
          </w:p>
        </w:tc>
      </w:tr>
    </w:tbl>
    <w:p w14:paraId="47540791" w14:textId="77777777" w:rsidR="00597185" w:rsidRPr="008578AA" w:rsidRDefault="003A3039">
      <w:pPr>
        <w:rPr>
          <w:lang w:val="en-GB"/>
        </w:rPr>
      </w:pPr>
    </w:p>
    <w:sectPr w:rsidR="00597185" w:rsidRPr="008578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8AA"/>
    <w:rsid w:val="001D1A76"/>
    <w:rsid w:val="003A3039"/>
    <w:rsid w:val="008578AA"/>
    <w:rsid w:val="00F918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BC2C2"/>
  <w15:chartTrackingRefBased/>
  <w15:docId w15:val="{43B31208-6726-4AC8-8595-6E25C6FB6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78AA"/>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578AA"/>
    <w:rPr>
      <w:color w:val="0000FF"/>
      <w:u w:val="single"/>
    </w:rPr>
  </w:style>
  <w:style w:type="paragraph" w:styleId="NormalWeb">
    <w:name w:val="Normal (Web)"/>
    <w:basedOn w:val="Normal"/>
    <w:uiPriority w:val="99"/>
    <w:semiHidden/>
    <w:unhideWhenUsed/>
    <w:rsid w:val="008578AA"/>
    <w:pPr>
      <w:spacing w:before="100" w:beforeAutospacing="1" w:after="100" w:afterAutospacing="1"/>
    </w:pPr>
  </w:style>
  <w:style w:type="character" w:styleId="Strong">
    <w:name w:val="Strong"/>
    <w:basedOn w:val="DefaultParagraphFont"/>
    <w:uiPriority w:val="22"/>
    <w:qFormat/>
    <w:rsid w:val="008578AA"/>
    <w:rPr>
      <w:b/>
      <w:bCs/>
    </w:rPr>
  </w:style>
  <w:style w:type="character" w:styleId="Emphasis">
    <w:name w:val="Emphasis"/>
    <w:basedOn w:val="DefaultParagraphFont"/>
    <w:uiPriority w:val="20"/>
    <w:qFormat/>
    <w:rsid w:val="008578A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8462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ldefense.proofpoint.com/v2/url?u=http-3A__www.twitter.com_ColderProducts&amp;d=DwMFaQ&amp;c=gOrgfQB8xVH7F0lP7MQhi8CyVXMBvYqNyP3LuSSb8Lw&amp;r=VnYsB4xLupZXWpdbfK_MzFHDJaEyWCpqpRKaGbqFdDs&amp;m=RHS5JY4G-aZZY4iOYToYwOykRCwmO1PmUvFhBx8z7eNcFBVixCtNsrRdRneicqLv&amp;s=yGzC19cvQao7i0dD5AvSpejM--yGusdjhX5A7zWJHSk&amp;e=" TargetMode="External"/><Relationship Id="rId13" Type="http://schemas.openxmlformats.org/officeDocument/2006/relationships/image" Target="media/image5.jpeg"/><Relationship Id="rId18" Type="http://schemas.openxmlformats.org/officeDocument/2006/relationships/image" Target="https://us.vocuspr.com/Publish/3571701/vcsPRAsset_3571701_152881_a01171e5-bb23-4cf7-95a3-fe4c42835e3b_0.gif" TargetMode="External"/><Relationship Id="rId3" Type="http://schemas.openxmlformats.org/officeDocument/2006/relationships/webSettings" Target="webSettings.xml"/><Relationship Id="rId21" Type="http://schemas.openxmlformats.org/officeDocument/2006/relationships/hyperlink" Target="https://urldefense.proofpoint.com/v2/url?u=https-3A__nam02.safelinks.protection.outlook.com_-3Furl-3Dhttp-253A-252F-252Fcpcworldwide.com-252Fbio-26data-3D01-257C01-257Candrea.gossett-2540colder.com-257Ca75558b6cde84134cb8008d783e0cb7d-257C3d2d2b6f061a48b6b4b39312d687e3a1-257C1-26sdata-3DNmOM-252FP9yyvj6uGKoAjNmJ7RkWmnYk7ATIkLtF2fwjeU-253D-26reserved-3D0&amp;d=DwMFaQ&amp;c=gOrgfQB8xVH7F0lP7MQhi8CyVXMBvYqNyP3LuSSb8Lw&amp;r=VnYsB4xLupZXWpdbfK_MzFHDJaEyWCpqpRKaGbqFdDs&amp;m=RHS5JY4G-aZZY4iOYToYwOykRCwmO1PmUvFhBx8z7eNcFBVixCtNsrRdRneicqLv&amp;s=Ij0pZbRkhi98mvq8Pf_G28Kp1zo5LCSH0fAxXkoKXsE&amp;e=" TargetMode="External"/><Relationship Id="rId7" Type="http://schemas.openxmlformats.org/officeDocument/2006/relationships/image" Target="media/image2.jpeg"/><Relationship Id="rId12" Type="http://schemas.openxmlformats.org/officeDocument/2006/relationships/hyperlink" Target="https://urldefense.proofpoint.com/v2/url?u=http-3A__www.facebook.com_pages_Colder-2DProducts-2DCompany_106766252710209&amp;d=DwMFaQ&amp;c=gOrgfQB8xVH7F0lP7MQhi8CyVXMBvYqNyP3LuSSb8Lw&amp;r=VnYsB4xLupZXWpdbfK_MzFHDJaEyWCpqpRKaGbqFdDs&amp;m=RHS5JY4G-aZZY4iOYToYwOykRCwmO1PmUvFhBx8z7eNcFBVixCtNsrRdRneicqLv&amp;s=uFN_yf8nE56zNGUhsim3LY6uWLGRt0CT9YEarGluw44&amp;e=" TargetMode="External"/><Relationship Id="rId17" Type="http://schemas.openxmlformats.org/officeDocument/2006/relationships/image" Target="media/image6.gif"/><Relationship Id="rId2" Type="http://schemas.openxmlformats.org/officeDocument/2006/relationships/settings" Target="settings.xml"/><Relationship Id="rId16" Type="http://schemas.openxmlformats.org/officeDocument/2006/relationships/hyperlink" Target="https://urldefense.proofpoint.com/v2/url?u=https-3A__endoftheweld.com_&amp;d=DwMFaQ&amp;c=gOrgfQB8xVH7F0lP7MQhi8CyVXMBvYqNyP3LuSSb8Lw&amp;r=VnYsB4xLupZXWpdbfK_MzFHDJaEyWCpqpRKaGbqFdDs&amp;m=RHS5JY4G-aZZY4iOYToYwOykRCwmO1PmUvFhBx8z7eNcFBVixCtNsrRdRneicqLv&amp;s=K5akdF_DcgdzgfNeWYnOmjxJ29lMEdIwk2AqRCWtHys&amp;e=" TargetMode="External"/><Relationship Id="rId20" Type="http://schemas.openxmlformats.org/officeDocument/2006/relationships/hyperlink" Target="mailto:yulia.tribrat@finnpartners.com" TargetMode="External"/><Relationship Id="rId1" Type="http://schemas.openxmlformats.org/officeDocument/2006/relationships/styles" Target="styles.xml"/><Relationship Id="rId6" Type="http://schemas.openxmlformats.org/officeDocument/2006/relationships/hyperlink" Target="https://urldefense.proofpoint.com/v2/url?u=http-3A__www.youtube.com_cpcconnections&amp;d=DwMFaQ&amp;c=gOrgfQB8xVH7F0lP7MQhi8CyVXMBvYqNyP3LuSSb8Lw&amp;r=VnYsB4xLupZXWpdbfK_MzFHDJaEyWCpqpRKaGbqFdDs&amp;m=RHS5JY4G-aZZY4iOYToYwOykRCwmO1PmUvFhBx8z7eNcFBVixCtNsrRdRneicqLv&amp;s=uReMO_AVev9KGYIHy73iaYDTbv6gXFWAyrIY8yPxjek&amp;e=" TargetMode="External"/><Relationship Id="rId11" Type="http://schemas.openxmlformats.org/officeDocument/2006/relationships/image" Target="media/image4.jpeg"/><Relationship Id="rId5" Type="http://schemas.openxmlformats.org/officeDocument/2006/relationships/hyperlink" Target="mailto:yulia.tribrat@finnpartners.com" TargetMode="External"/><Relationship Id="rId15" Type="http://schemas.openxmlformats.org/officeDocument/2006/relationships/hyperlink" Target="https://urldefense.proofpoint.com/v2/url?u=https-3A__www.cpcworldwide.com_Products_AseptiQuik-2DSterile&amp;d=DwMFaQ&amp;c=gOrgfQB8xVH7F0lP7MQhi8CyVXMBvYqNyP3LuSSb8Lw&amp;r=VnYsB4xLupZXWpdbfK_MzFHDJaEyWCpqpRKaGbqFdDs&amp;m=RHS5JY4G-aZZY4iOYToYwOykRCwmO1PmUvFhBx8z7eNcFBVixCtNsrRdRneicqLv&amp;s=l16ssOSz7OqSKb6AdYPiDfDHPdqkGTyI3xgNlcaHrKI&amp;e=" TargetMode="External"/><Relationship Id="rId23" Type="http://schemas.openxmlformats.org/officeDocument/2006/relationships/theme" Target="theme/theme1.xml"/><Relationship Id="rId10" Type="http://schemas.openxmlformats.org/officeDocument/2006/relationships/hyperlink" Target="https://urldefense.proofpoint.com/v2/url?u=http-3A__www.linkedin.com_companies_colder-2Dproducts-2Dcompany&amp;d=DwMFaQ&amp;c=gOrgfQB8xVH7F0lP7MQhi8CyVXMBvYqNyP3LuSSb8Lw&amp;r=VnYsB4xLupZXWpdbfK_MzFHDJaEyWCpqpRKaGbqFdDs&amp;m=RHS5JY4G-aZZY4iOYToYwOykRCwmO1PmUvFhBx8z7eNcFBVixCtNsrRdRneicqLv&amp;s=iE5T8pPv9AHQRoeApcWTfcycUSVDbA3sVDJMHNf_b6w&amp;e=" TargetMode="External"/><Relationship Id="rId19" Type="http://schemas.openxmlformats.org/officeDocument/2006/relationships/hyperlink" Target="https://urldefense.proofpoint.com/v2/url?u=https-3A__endoftheweld.com_&amp;d=DwMFaQ&amp;c=gOrgfQB8xVH7F0lP7MQhi8CyVXMBvYqNyP3LuSSb8Lw&amp;r=VnYsB4xLupZXWpdbfK_MzFHDJaEyWCpqpRKaGbqFdDs&amp;m=RHS5JY4G-aZZY4iOYToYwOykRCwmO1PmUvFhBx8z7eNcFBVixCtNsrRdRneicqLv&amp;s=K5akdF_DcgdzgfNeWYnOmjxJ29lMEdIwk2AqRCWtHys&amp;e=" TargetMode="External"/><Relationship Id="rId4" Type="http://schemas.openxmlformats.org/officeDocument/2006/relationships/image" Target="media/image1.jpeg"/><Relationship Id="rId9" Type="http://schemas.openxmlformats.org/officeDocument/2006/relationships/image" Target="media/image3.jpeg"/><Relationship Id="rId14" Type="http://schemas.openxmlformats.org/officeDocument/2006/relationships/hyperlink" Target="https://urldefense.proofpoint.com/v2/url?u=https-3A__www.dropbox.com_sh_7jfg7me1jpkhw3p_AAAyyNt3YMvfXrSF03zxoJgha-3Fdl-3D0&amp;d=DwMFaQ&amp;c=gOrgfQB8xVH7F0lP7MQhi8CyVXMBvYqNyP3LuSSb8Lw&amp;r=VnYsB4xLupZXWpdbfK_MzFHDJaEyWCpqpRKaGbqFdDs&amp;m=RHS5JY4G-aZZY4iOYToYwOykRCwmO1PmUvFhBx8z7eNcFBVixCtNsrRdRneicqLv&amp;s=6HWI8xbxvmB0aojdd56ywCQNh1VAjEOpsuLbQ8ij9Fs&amp;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978</Words>
  <Characters>5577</Characters>
  <Application>Microsoft Office Word</Application>
  <DocSecurity>0</DocSecurity>
  <Lines>46</Lines>
  <Paragraphs>13</Paragraphs>
  <ScaleCrop>false</ScaleCrop>
  <Company/>
  <LinksUpToDate>false</LinksUpToDate>
  <CharactersWithSpaces>6542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Mayer, Sylvia</dc:creator>
  <cp:keywords/>
  <dc:description/>
  <cp:lastModifiedBy>Mayer, Sylvia</cp:lastModifiedBy>
  <cp:revision>2</cp:revision>
  <dcterms:created xsi:type="dcterms:W3CDTF">2021-11-02T13:45:00Z</dcterms:created>
  <dcterms:modified xsi:type="dcterms:W3CDTF">2021-11-02T13:45:00Z</dcterms:modified>
</cp:coreProperties>
</file>