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B4" w:rsidRDefault="00EA79B4" w:rsidP="00EA79B4">
      <w:pPr>
        <w:spacing w:line="276" w:lineRule="auto"/>
        <w:jc w:val="both"/>
        <w:rPr>
          <w:rFonts w:cstheme="minorHAnsi"/>
        </w:rPr>
      </w:pPr>
      <w:r>
        <w:rPr>
          <w:rFonts w:cstheme="minorHAnsi"/>
          <w:b/>
          <w:sz w:val="52"/>
          <w:szCs w:val="52"/>
        </w:rPr>
        <w:t>MKPPL</w:t>
      </w:r>
      <w:r w:rsidR="00AB7A32" w:rsidRPr="00EA79B4">
        <w:rPr>
          <w:rFonts w:cstheme="minorHAnsi"/>
          <w:b/>
          <w:sz w:val="52"/>
          <w:szCs w:val="52"/>
        </w:rPr>
        <w:t>–</w:t>
      </w:r>
      <w:r w:rsidRPr="00EA79B4">
        <w:rPr>
          <w:rFonts w:cstheme="minorHAnsi"/>
          <w:b/>
          <w:sz w:val="52"/>
          <w:szCs w:val="52"/>
        </w:rPr>
        <w:t>ITRACONAZOLE</w:t>
      </w:r>
      <w:r w:rsidR="000B6CAC" w:rsidRPr="0023142F">
        <w:rPr>
          <w:rFonts w:cstheme="minorHAnsi"/>
          <w:b/>
          <w:bCs/>
          <w:sz w:val="28"/>
        </w:rPr>
        <w:br/>
      </w:r>
    </w:p>
    <w:p w:rsidR="008F4089" w:rsidRPr="008F4089" w:rsidRDefault="00EA79B4" w:rsidP="00EA79B4">
      <w:pPr>
        <w:spacing w:line="360" w:lineRule="auto"/>
        <w:jc w:val="both"/>
        <w:rPr>
          <w:rFonts w:cstheme="minorHAnsi"/>
        </w:rPr>
      </w:pPr>
      <w:r>
        <w:rPr>
          <w:rFonts w:cstheme="minorHAnsi"/>
        </w:rPr>
        <w:t>I</w:t>
      </w:r>
      <w:r w:rsidR="008F4089" w:rsidRPr="008F4089">
        <w:rPr>
          <w:rFonts w:cstheme="minorHAnsi"/>
        </w:rPr>
        <w:t>traconazole is a 1:1:1:1 racemic mixture of four diastereomers</w:t>
      </w:r>
      <w:r w:rsidR="008F4089">
        <w:rPr>
          <w:rFonts w:cstheme="minorHAnsi"/>
        </w:rPr>
        <w:t xml:space="preserve"> (two enantiomeric pairs), each </w:t>
      </w:r>
      <w:r w:rsidR="008F4089" w:rsidRPr="008F4089">
        <w:rPr>
          <w:rFonts w:cstheme="minorHAnsi"/>
        </w:rPr>
        <w:t xml:space="preserve">possessing three chiral centers. </w:t>
      </w:r>
      <w:r w:rsidR="008F4089" w:rsidRPr="00EA79B4">
        <w:rPr>
          <w:rFonts w:cstheme="minorHAnsi"/>
          <w:b/>
        </w:rPr>
        <w:t>SPORANOX®</w:t>
      </w:r>
      <w:r w:rsidR="008F4089" w:rsidRPr="008F4089">
        <w:rPr>
          <w:rFonts w:cstheme="minorHAnsi"/>
        </w:rPr>
        <w:t xml:space="preserve"> is the innovator for </w:t>
      </w:r>
      <w:r w:rsidRPr="008F4089">
        <w:rPr>
          <w:rFonts w:cstheme="minorHAnsi"/>
        </w:rPr>
        <w:t>Itraconazole</w:t>
      </w:r>
      <w:r w:rsidR="008F4089" w:rsidRPr="008F4089">
        <w:rPr>
          <w:rFonts w:cstheme="minorHAnsi"/>
        </w:rPr>
        <w:t>, a synthetic triazole antifungal agent. Itraconazole has a molecular formula of C</w:t>
      </w:r>
      <w:r w:rsidR="008F4089" w:rsidRPr="008F4089">
        <w:rPr>
          <w:rFonts w:cstheme="minorHAnsi"/>
          <w:vertAlign w:val="subscript"/>
        </w:rPr>
        <w:t>35</w:t>
      </w:r>
      <w:r w:rsidR="008F4089" w:rsidRPr="008F4089">
        <w:rPr>
          <w:rFonts w:cstheme="minorHAnsi"/>
        </w:rPr>
        <w:t>H</w:t>
      </w:r>
      <w:r w:rsidR="008F4089" w:rsidRPr="008F4089">
        <w:rPr>
          <w:rFonts w:cstheme="minorHAnsi"/>
          <w:vertAlign w:val="subscript"/>
        </w:rPr>
        <w:t>38</w:t>
      </w:r>
      <w:r w:rsidR="008F4089" w:rsidRPr="008F4089">
        <w:rPr>
          <w:rFonts w:cstheme="minorHAnsi"/>
        </w:rPr>
        <w:t>Cl</w:t>
      </w:r>
      <w:r w:rsidR="008F4089" w:rsidRPr="008F4089">
        <w:rPr>
          <w:rFonts w:cstheme="minorHAnsi"/>
          <w:vertAlign w:val="subscript"/>
        </w:rPr>
        <w:t>2</w:t>
      </w:r>
      <w:r w:rsidR="008F4089" w:rsidRPr="008F4089">
        <w:rPr>
          <w:rFonts w:cstheme="minorHAnsi"/>
        </w:rPr>
        <w:t>N</w:t>
      </w:r>
      <w:r w:rsidR="008F4089" w:rsidRPr="008F4089">
        <w:rPr>
          <w:rFonts w:cstheme="minorHAnsi"/>
          <w:vertAlign w:val="subscript"/>
        </w:rPr>
        <w:t>8</w:t>
      </w:r>
      <w:r w:rsidR="008F4089" w:rsidRPr="008F4089">
        <w:rPr>
          <w:rFonts w:cstheme="minorHAnsi"/>
        </w:rPr>
        <w:t>O</w:t>
      </w:r>
      <w:r w:rsidR="008F4089" w:rsidRPr="008F4089">
        <w:rPr>
          <w:rFonts w:cstheme="minorHAnsi"/>
          <w:vertAlign w:val="subscript"/>
        </w:rPr>
        <w:t>4</w:t>
      </w:r>
      <w:r w:rsidR="008F4089" w:rsidRPr="008F4089">
        <w:rPr>
          <w:rFonts w:cstheme="minorHAnsi"/>
        </w:rPr>
        <w:t xml:space="preserve"> and a molecular weight of 705.64. It is a white t</w:t>
      </w:r>
      <w:r>
        <w:rPr>
          <w:rFonts w:cstheme="minorHAnsi"/>
        </w:rPr>
        <w:t xml:space="preserve">o slightly yellowish powder and </w:t>
      </w:r>
      <w:r w:rsidR="008F4089" w:rsidRPr="008F4089">
        <w:rPr>
          <w:rFonts w:cstheme="minorHAnsi"/>
        </w:rPr>
        <w:t>is insoluble in water, ve</w:t>
      </w:r>
      <w:r>
        <w:rPr>
          <w:rFonts w:cstheme="minorHAnsi"/>
        </w:rPr>
        <w:t>ry slightly soluble in alcohols</w:t>
      </w:r>
      <w:r w:rsidR="008F4089" w:rsidRPr="008F4089">
        <w:rPr>
          <w:rFonts w:cstheme="minorHAnsi"/>
        </w:rPr>
        <w:t xml:space="preserve"> and freely soluble in dichloromethane. It has a pKa of 3.70 (based on extrapolation of values obtained from methanolic solutions) and a log (n-octanol/water) partition coefficient of 5.66 at pH 8.1.</w:t>
      </w:r>
    </w:p>
    <w:p w:rsidR="008F4089" w:rsidRPr="008F4089" w:rsidRDefault="008F4089" w:rsidP="00EA79B4">
      <w:pPr>
        <w:spacing w:line="360" w:lineRule="auto"/>
        <w:jc w:val="both"/>
        <w:rPr>
          <w:rFonts w:cstheme="minorHAnsi"/>
        </w:rPr>
      </w:pPr>
      <w:r w:rsidRPr="008F4089">
        <w:rPr>
          <w:rFonts w:cstheme="minorHAnsi"/>
        </w:rPr>
        <w:t xml:space="preserve">SPORANOX® Capsules contain 100 mg of </w:t>
      </w:r>
      <w:r w:rsidR="00EA79B4" w:rsidRPr="008F4089">
        <w:rPr>
          <w:rFonts w:cstheme="minorHAnsi"/>
        </w:rPr>
        <w:t>Itraconazole</w:t>
      </w:r>
      <w:r w:rsidRPr="008F4089">
        <w:rPr>
          <w:rFonts w:cstheme="minorHAnsi"/>
        </w:rPr>
        <w:t xml:space="preserve"> coated on sugar spheres. Inactive ingredients are hard gelatin capsule, hypromellose, polyethylene glycol (PEG) 20,000, starch, sucrose, titanium dioxide, FD&amp;C Blue No. 1, FD&amp;C Blue No. 2, D&amp;C Red No. 22 and D&amp;C Red No. 28.</w:t>
      </w:r>
    </w:p>
    <w:p w:rsidR="008F4089" w:rsidRDefault="008F4089" w:rsidP="00EA79B4">
      <w:pPr>
        <w:spacing w:line="360" w:lineRule="auto"/>
        <w:jc w:val="both"/>
        <w:rPr>
          <w:rFonts w:cstheme="minorHAnsi"/>
        </w:rPr>
      </w:pPr>
      <w:r w:rsidRPr="008F4089">
        <w:rPr>
          <w:rFonts w:cstheme="minorHAnsi"/>
        </w:rPr>
        <w:t xml:space="preserve">The objective of developing Itraconazole pellets by aqueous technology is to match the dissolution profile of Itraconazole Pellets with SPORANOX without use of organic solvent. Pellets have distinct advantages over single unit system such as multiple unit particles get distributed throughout the GI tract thereby avoiding localized accumulation. Pellets developed by aqueous technology have also advantage of avoiding the use of organic solvents. Itraconazole pellets are developed by Fluid Bed Coating process in which, the suspension of Itraconazole along with other ingredients like </w:t>
      </w:r>
      <w:r w:rsidR="00EA79B4" w:rsidRPr="008F4089">
        <w:rPr>
          <w:rFonts w:cstheme="minorHAnsi"/>
        </w:rPr>
        <w:t>hydroxy</w:t>
      </w:r>
      <w:r w:rsidRPr="008F4089">
        <w:rPr>
          <w:rFonts w:cstheme="minorHAnsi"/>
        </w:rPr>
        <w:t xml:space="preserve"> propyl methyl cellulose, Sodium</w:t>
      </w:r>
      <w:r w:rsidR="00EA79B4">
        <w:rPr>
          <w:rFonts w:cstheme="minorHAnsi"/>
        </w:rPr>
        <w:t xml:space="preserve"> Lauryl Sulphate and Sodium Starch Glycolate</w:t>
      </w:r>
      <w:r w:rsidRPr="008F4089">
        <w:rPr>
          <w:rFonts w:cstheme="minorHAnsi"/>
        </w:rPr>
        <w:t xml:space="preserve"> is sprayed on sugar spheres 20 – 24# to get drug loaded pellets. On this pellets Seal coating will be tried using </w:t>
      </w:r>
      <w:r w:rsidR="00EA79B4" w:rsidRPr="008F4089">
        <w:rPr>
          <w:rFonts w:cstheme="minorHAnsi"/>
        </w:rPr>
        <w:t>hydroxy</w:t>
      </w:r>
      <w:r w:rsidRPr="008F4089">
        <w:rPr>
          <w:rFonts w:cstheme="minorHAnsi"/>
        </w:rPr>
        <w:t xml:space="preserve"> propyl methyl cellulose and Polyethylene Glycol-6000. All the ingredients were available from approved vendors for FBC process. All the equipments and Analytical Instruments like HPLC, FTIR, GC, and Dissolution apparatus are available for developed Itraconazole pellets.</w:t>
      </w:r>
    </w:p>
    <w:p w:rsidR="008F42E2" w:rsidRPr="00EA79B4" w:rsidRDefault="00EA79B4" w:rsidP="00EA79B4">
      <w:pPr>
        <w:autoSpaceDE w:val="0"/>
        <w:autoSpaceDN w:val="0"/>
        <w:adjustRightInd w:val="0"/>
        <w:spacing w:after="0" w:line="240" w:lineRule="auto"/>
        <w:rPr>
          <w:rFonts w:cstheme="minorHAnsi"/>
          <w:b/>
          <w:bCs/>
          <w:u w:val="single"/>
        </w:rPr>
      </w:pPr>
      <w:r>
        <w:rPr>
          <w:rFonts w:cstheme="minorHAnsi"/>
          <w:b/>
          <w:bCs/>
          <w:u w:val="single"/>
        </w:rPr>
        <w:t xml:space="preserve">DISSOLUTION </w:t>
      </w:r>
      <w:r w:rsidR="008F42E2" w:rsidRPr="00EA79B4">
        <w:rPr>
          <w:rFonts w:cstheme="minorHAnsi"/>
          <w:b/>
          <w:bCs/>
          <w:u w:val="single"/>
        </w:rPr>
        <w:t>PROFILE COMPARISON OF</w:t>
      </w:r>
      <w:r>
        <w:rPr>
          <w:rFonts w:cstheme="minorHAnsi"/>
          <w:b/>
          <w:bCs/>
          <w:u w:val="single"/>
        </w:rPr>
        <w:t xml:space="preserve"> </w:t>
      </w:r>
      <w:r w:rsidR="00F46877" w:rsidRPr="00EA79B4">
        <w:rPr>
          <w:rFonts w:cstheme="minorHAnsi"/>
          <w:b/>
          <w:bCs/>
          <w:u w:val="single"/>
        </w:rPr>
        <w:t>ITRACONAZOLE</w:t>
      </w:r>
      <w:r w:rsidR="008F42E2" w:rsidRPr="00EA79B4">
        <w:rPr>
          <w:rFonts w:cstheme="minorHAnsi"/>
          <w:b/>
          <w:bCs/>
          <w:u w:val="single"/>
        </w:rPr>
        <w:t xml:space="preserve"> PELLETS OF</w:t>
      </w:r>
      <w:r>
        <w:rPr>
          <w:rFonts w:cstheme="minorHAnsi"/>
          <w:b/>
          <w:bCs/>
          <w:u w:val="single"/>
        </w:rPr>
        <w:t xml:space="preserve"> </w:t>
      </w:r>
      <w:r w:rsidR="008F42E2" w:rsidRPr="00EA79B4">
        <w:rPr>
          <w:rFonts w:cstheme="minorHAnsi"/>
          <w:b/>
          <w:bCs/>
          <w:u w:val="single"/>
        </w:rPr>
        <w:t>MURLIKRISHNA PHARMA (MKPPL) &amp;</w:t>
      </w:r>
      <w:r>
        <w:rPr>
          <w:rFonts w:cstheme="minorHAnsi"/>
          <w:b/>
          <w:bCs/>
          <w:u w:val="single"/>
        </w:rPr>
        <w:t xml:space="preserve"> </w:t>
      </w:r>
      <w:r w:rsidR="00F46877" w:rsidRPr="00EA79B4">
        <w:rPr>
          <w:rFonts w:cstheme="minorHAnsi"/>
          <w:b/>
          <w:bCs/>
          <w:u w:val="single"/>
        </w:rPr>
        <w:t>SPORONOX</w:t>
      </w:r>
    </w:p>
    <w:p w:rsidR="008F42E2" w:rsidRPr="00E201C1" w:rsidRDefault="00151141" w:rsidP="00EA79B4">
      <w:pPr>
        <w:autoSpaceDE w:val="0"/>
        <w:autoSpaceDN w:val="0"/>
        <w:adjustRightInd w:val="0"/>
        <w:spacing w:after="0" w:line="360" w:lineRule="auto"/>
        <w:jc w:val="both"/>
        <w:rPr>
          <w:rFonts w:cstheme="minorHAnsi"/>
        </w:rPr>
      </w:pPr>
      <w:r>
        <w:rPr>
          <w:rFonts w:cstheme="minorHAnsi"/>
        </w:rPr>
        <w:br/>
      </w:r>
      <w:r w:rsidR="008F42E2" w:rsidRPr="00E201C1">
        <w:rPr>
          <w:rFonts w:cstheme="minorHAnsi"/>
        </w:rPr>
        <w:t xml:space="preserve">A comparative study for dissolution was conducted for </w:t>
      </w:r>
      <w:r w:rsidR="00F46877">
        <w:rPr>
          <w:rFonts w:cstheme="minorHAnsi"/>
        </w:rPr>
        <w:t>Itraconazole</w:t>
      </w:r>
      <w:r w:rsidR="008F42E2" w:rsidRPr="00E201C1">
        <w:rPr>
          <w:rFonts w:cstheme="minorHAnsi"/>
        </w:rPr>
        <w:t xml:space="preserve"> Pellets 2</w:t>
      </w:r>
      <w:r w:rsidR="00F46877">
        <w:rPr>
          <w:rFonts w:cstheme="minorHAnsi"/>
        </w:rPr>
        <w:t>2</w:t>
      </w:r>
      <w:r w:rsidR="008F42E2" w:rsidRPr="00E201C1">
        <w:rPr>
          <w:rFonts w:cstheme="minorHAnsi"/>
        </w:rPr>
        <w:t>.0% w/w</w:t>
      </w:r>
    </w:p>
    <w:p w:rsidR="008F42E2" w:rsidRPr="00E201C1" w:rsidRDefault="008F42E2" w:rsidP="00EA79B4">
      <w:pPr>
        <w:autoSpaceDE w:val="0"/>
        <w:autoSpaceDN w:val="0"/>
        <w:adjustRightInd w:val="0"/>
        <w:spacing w:after="0" w:line="360" w:lineRule="auto"/>
        <w:jc w:val="both"/>
        <w:rPr>
          <w:rFonts w:cstheme="minorHAnsi"/>
        </w:rPr>
      </w:pPr>
      <w:r w:rsidRPr="00E201C1">
        <w:rPr>
          <w:rFonts w:cstheme="minorHAnsi"/>
        </w:rPr>
        <w:t xml:space="preserve">B.No. </w:t>
      </w:r>
      <w:r w:rsidR="00F46877">
        <w:rPr>
          <w:rFonts w:cstheme="minorHAnsi"/>
        </w:rPr>
        <w:t>MKPPLR-ITF-14008</w:t>
      </w:r>
      <w:r w:rsidRPr="00E201C1">
        <w:rPr>
          <w:rFonts w:cstheme="minorHAnsi"/>
        </w:rPr>
        <w:t xml:space="preserve"> of Murli</w:t>
      </w:r>
      <w:r w:rsidR="00007B4A">
        <w:rPr>
          <w:rFonts w:cstheme="minorHAnsi"/>
        </w:rPr>
        <w:t xml:space="preserve"> K</w:t>
      </w:r>
      <w:r w:rsidRPr="00E201C1">
        <w:rPr>
          <w:rFonts w:cstheme="minorHAnsi"/>
        </w:rPr>
        <w:t xml:space="preserve">rishna Pharma and </w:t>
      </w:r>
      <w:r w:rsidR="00F46877">
        <w:rPr>
          <w:rFonts w:cstheme="minorHAnsi"/>
        </w:rPr>
        <w:t>Sporonox</w:t>
      </w:r>
      <w:r w:rsidRPr="00E201C1">
        <w:rPr>
          <w:rFonts w:cstheme="minorHAnsi"/>
        </w:rPr>
        <w:t xml:space="preserve"> Capsules </w:t>
      </w:r>
      <w:r w:rsidR="00F46877">
        <w:rPr>
          <w:rFonts w:cstheme="minorHAnsi"/>
        </w:rPr>
        <w:t>of Janssen</w:t>
      </w:r>
      <w:r w:rsidR="00BC7C3E">
        <w:rPr>
          <w:rFonts w:cstheme="minorHAnsi"/>
        </w:rPr>
        <w:t>.</w:t>
      </w:r>
    </w:p>
    <w:p w:rsidR="008F42E2" w:rsidRPr="00E201C1" w:rsidRDefault="008F42E2" w:rsidP="00EA79B4">
      <w:pPr>
        <w:autoSpaceDE w:val="0"/>
        <w:autoSpaceDN w:val="0"/>
        <w:adjustRightInd w:val="0"/>
        <w:spacing w:after="0" w:line="360" w:lineRule="auto"/>
        <w:jc w:val="both"/>
        <w:rPr>
          <w:rFonts w:cstheme="minorHAnsi"/>
        </w:rPr>
      </w:pPr>
      <w:r w:rsidRPr="00E201C1">
        <w:rPr>
          <w:rFonts w:cstheme="minorHAnsi"/>
        </w:rPr>
        <w:t xml:space="preserve">A weight equivalent to </w:t>
      </w:r>
      <w:r w:rsidR="00BC7C3E">
        <w:rPr>
          <w:rFonts w:cstheme="minorHAnsi"/>
        </w:rPr>
        <w:t>100</w:t>
      </w:r>
      <w:r w:rsidRPr="00E201C1">
        <w:rPr>
          <w:rFonts w:cstheme="minorHAnsi"/>
        </w:rPr>
        <w:t xml:space="preserve"> mg of dose was taken from Murli</w:t>
      </w:r>
      <w:r w:rsidR="00007B4A">
        <w:rPr>
          <w:rFonts w:cstheme="minorHAnsi"/>
        </w:rPr>
        <w:t xml:space="preserve"> K</w:t>
      </w:r>
      <w:r w:rsidRPr="00E201C1">
        <w:rPr>
          <w:rFonts w:cstheme="minorHAnsi"/>
        </w:rPr>
        <w:t>rishna Pharma (MKPPL)</w:t>
      </w:r>
      <w:r w:rsidR="00BC7C3E">
        <w:rPr>
          <w:rFonts w:cstheme="minorHAnsi"/>
        </w:rPr>
        <w:t>Itraconazole</w:t>
      </w:r>
      <w:r w:rsidRPr="00E201C1">
        <w:rPr>
          <w:rFonts w:cstheme="minorHAnsi"/>
        </w:rPr>
        <w:t xml:space="preserve"> Pellets 2</w:t>
      </w:r>
      <w:r w:rsidR="00BC7C3E">
        <w:rPr>
          <w:rFonts w:cstheme="minorHAnsi"/>
        </w:rPr>
        <w:t>2</w:t>
      </w:r>
      <w:r w:rsidRPr="00E201C1">
        <w:rPr>
          <w:rFonts w:cstheme="minorHAnsi"/>
        </w:rPr>
        <w:t xml:space="preserve">.0% w/w and dissolution study at </w:t>
      </w:r>
      <w:r w:rsidR="00BC7C3E">
        <w:rPr>
          <w:rFonts w:cstheme="minorHAnsi"/>
        </w:rPr>
        <w:t>5,</w:t>
      </w:r>
      <w:r w:rsidRPr="00E201C1">
        <w:rPr>
          <w:rFonts w:cstheme="minorHAnsi"/>
        </w:rPr>
        <w:t xml:space="preserve">10, </w:t>
      </w:r>
      <w:r w:rsidR="00BC7C3E">
        <w:rPr>
          <w:rFonts w:cstheme="minorHAnsi"/>
        </w:rPr>
        <w:t>15,3</w:t>
      </w:r>
      <w:r w:rsidRPr="00E201C1">
        <w:rPr>
          <w:rFonts w:cstheme="minorHAnsi"/>
        </w:rPr>
        <w:t>0,</w:t>
      </w:r>
      <w:r w:rsidR="00BC7C3E">
        <w:rPr>
          <w:rFonts w:cstheme="minorHAnsi"/>
        </w:rPr>
        <w:t>45</w:t>
      </w:r>
      <w:r w:rsidRPr="00E201C1">
        <w:rPr>
          <w:rFonts w:cstheme="minorHAnsi"/>
        </w:rPr>
        <w:t xml:space="preserve">,60 and </w:t>
      </w:r>
      <w:r w:rsidR="00BC7C3E">
        <w:rPr>
          <w:rFonts w:cstheme="minorHAnsi"/>
        </w:rPr>
        <w:t>90</w:t>
      </w:r>
      <w:r w:rsidRPr="00E201C1">
        <w:rPr>
          <w:rFonts w:cstheme="minorHAnsi"/>
        </w:rPr>
        <w:t>minutes was conducted.</w:t>
      </w:r>
    </w:p>
    <w:p w:rsidR="008F42E2" w:rsidRPr="00E201C1" w:rsidRDefault="008F42E2" w:rsidP="00EA79B4">
      <w:pPr>
        <w:autoSpaceDE w:val="0"/>
        <w:autoSpaceDN w:val="0"/>
        <w:adjustRightInd w:val="0"/>
        <w:spacing w:after="0" w:line="360" w:lineRule="auto"/>
        <w:jc w:val="both"/>
        <w:rPr>
          <w:rFonts w:cstheme="minorHAnsi"/>
        </w:rPr>
      </w:pPr>
      <w:r w:rsidRPr="00E201C1">
        <w:rPr>
          <w:rFonts w:cstheme="minorHAnsi"/>
        </w:rPr>
        <w:t>Differential (F1) &amp; Similarity (F2) Factors were estimated from the obtain dissolution data.</w:t>
      </w:r>
    </w:p>
    <w:p w:rsidR="00EA79B4" w:rsidRDefault="00EA79B4" w:rsidP="00EA79B4">
      <w:pPr>
        <w:autoSpaceDE w:val="0"/>
        <w:autoSpaceDN w:val="0"/>
        <w:adjustRightInd w:val="0"/>
        <w:spacing w:after="0" w:line="240" w:lineRule="auto"/>
        <w:jc w:val="center"/>
        <w:rPr>
          <w:rFonts w:cstheme="minorHAnsi"/>
          <w:b/>
          <w:bCs/>
          <w:u w:val="single"/>
        </w:rPr>
      </w:pPr>
    </w:p>
    <w:p w:rsidR="00EA79B4" w:rsidRDefault="00EA79B4" w:rsidP="00EA79B4">
      <w:pPr>
        <w:autoSpaceDE w:val="0"/>
        <w:autoSpaceDN w:val="0"/>
        <w:adjustRightInd w:val="0"/>
        <w:spacing w:after="0" w:line="240" w:lineRule="auto"/>
        <w:jc w:val="center"/>
        <w:rPr>
          <w:rFonts w:cstheme="minorHAnsi"/>
          <w:b/>
          <w:bCs/>
          <w:u w:val="single"/>
        </w:rPr>
      </w:pPr>
    </w:p>
    <w:p w:rsidR="00EA79B4" w:rsidRDefault="00EA79B4" w:rsidP="00EA79B4">
      <w:pPr>
        <w:autoSpaceDE w:val="0"/>
        <w:autoSpaceDN w:val="0"/>
        <w:adjustRightInd w:val="0"/>
        <w:spacing w:after="0" w:line="240" w:lineRule="auto"/>
        <w:jc w:val="center"/>
        <w:rPr>
          <w:rFonts w:cstheme="minorHAnsi"/>
          <w:b/>
          <w:bCs/>
          <w:u w:val="single"/>
        </w:rPr>
      </w:pPr>
    </w:p>
    <w:p w:rsidR="008F42E2" w:rsidRDefault="00EA79B4" w:rsidP="00EA79B4">
      <w:pPr>
        <w:autoSpaceDE w:val="0"/>
        <w:autoSpaceDN w:val="0"/>
        <w:adjustRightInd w:val="0"/>
        <w:spacing w:after="0" w:line="240" w:lineRule="auto"/>
        <w:jc w:val="center"/>
        <w:rPr>
          <w:rFonts w:cstheme="minorHAnsi"/>
          <w:b/>
          <w:bCs/>
          <w:u w:val="single"/>
        </w:rPr>
      </w:pPr>
      <w:r w:rsidRPr="00EA79B4">
        <w:rPr>
          <w:rFonts w:cstheme="minorHAnsi"/>
          <w:b/>
          <w:bCs/>
          <w:u w:val="single"/>
        </w:rPr>
        <w:t>DISSOLUTION DATA</w:t>
      </w:r>
    </w:p>
    <w:p w:rsidR="00EA79B4" w:rsidRPr="00EA79B4" w:rsidRDefault="00EA79B4" w:rsidP="00EA79B4">
      <w:pPr>
        <w:autoSpaceDE w:val="0"/>
        <w:autoSpaceDN w:val="0"/>
        <w:adjustRightInd w:val="0"/>
        <w:spacing w:after="0" w:line="240" w:lineRule="auto"/>
        <w:jc w:val="center"/>
        <w:rPr>
          <w:rFonts w:cstheme="minorHAnsi"/>
          <w:b/>
          <w:bCs/>
          <w:u w:val="single"/>
        </w:rPr>
      </w:pPr>
    </w:p>
    <w:tbl>
      <w:tblPr>
        <w:tblStyle w:val="TableGrid"/>
        <w:tblW w:w="0" w:type="auto"/>
        <w:tblLook w:val="04A0"/>
      </w:tblPr>
      <w:tblGrid>
        <w:gridCol w:w="3116"/>
        <w:gridCol w:w="3117"/>
        <w:gridCol w:w="3117"/>
      </w:tblGrid>
      <w:tr w:rsidR="00F15B25" w:rsidRPr="008132BB" w:rsidTr="00F654CB">
        <w:trPr>
          <w:trHeight w:val="498"/>
        </w:trPr>
        <w:tc>
          <w:tcPr>
            <w:tcW w:w="3116" w:type="dxa"/>
          </w:tcPr>
          <w:p w:rsidR="00F15B25" w:rsidRPr="008132BB" w:rsidRDefault="00F15B25" w:rsidP="00F654CB">
            <w:pPr>
              <w:autoSpaceDE w:val="0"/>
              <w:autoSpaceDN w:val="0"/>
              <w:adjustRightInd w:val="0"/>
              <w:jc w:val="center"/>
              <w:rPr>
                <w:rFonts w:cstheme="minorHAnsi"/>
                <w:b/>
                <w:bCs/>
                <w:sz w:val="20"/>
              </w:rPr>
            </w:pPr>
            <w:r w:rsidRPr="008132BB">
              <w:rPr>
                <w:rFonts w:cstheme="minorHAnsi"/>
                <w:b/>
                <w:bCs/>
                <w:sz w:val="20"/>
              </w:rPr>
              <w:t>TIME (in Min.)</w:t>
            </w:r>
          </w:p>
        </w:tc>
        <w:tc>
          <w:tcPr>
            <w:tcW w:w="3117" w:type="dxa"/>
          </w:tcPr>
          <w:p w:rsidR="00F15B25" w:rsidRPr="008132BB" w:rsidRDefault="00F15B25" w:rsidP="00F654CB">
            <w:pPr>
              <w:autoSpaceDE w:val="0"/>
              <w:autoSpaceDN w:val="0"/>
              <w:adjustRightInd w:val="0"/>
              <w:jc w:val="center"/>
              <w:rPr>
                <w:rFonts w:cstheme="minorHAnsi"/>
                <w:b/>
                <w:bCs/>
                <w:sz w:val="20"/>
              </w:rPr>
            </w:pPr>
            <w:r>
              <w:rPr>
                <w:rFonts w:cstheme="minorHAnsi"/>
                <w:b/>
                <w:bCs/>
                <w:sz w:val="20"/>
              </w:rPr>
              <w:t>Dissolution (%) of Sporonox</w:t>
            </w:r>
            <w:r>
              <w:rPr>
                <w:rFonts w:cstheme="minorHAnsi"/>
                <w:b/>
                <w:bCs/>
                <w:sz w:val="20"/>
              </w:rPr>
              <w:br/>
              <w:t>(Batch No.-ODG 651)</w:t>
            </w:r>
          </w:p>
        </w:tc>
        <w:tc>
          <w:tcPr>
            <w:tcW w:w="3117" w:type="dxa"/>
          </w:tcPr>
          <w:p w:rsidR="00F15B25" w:rsidRPr="008132BB" w:rsidRDefault="00F15B25" w:rsidP="00F654CB">
            <w:pPr>
              <w:autoSpaceDE w:val="0"/>
              <w:autoSpaceDN w:val="0"/>
              <w:adjustRightInd w:val="0"/>
              <w:jc w:val="center"/>
              <w:rPr>
                <w:rFonts w:cstheme="minorHAnsi"/>
                <w:b/>
                <w:bCs/>
                <w:sz w:val="20"/>
              </w:rPr>
            </w:pPr>
            <w:r>
              <w:rPr>
                <w:rFonts w:cstheme="minorHAnsi"/>
                <w:b/>
                <w:bCs/>
                <w:sz w:val="20"/>
              </w:rPr>
              <w:t>Dissolution (%) of MKPPL (Batch No.- MKPPLR-ITF-14008)</w:t>
            </w:r>
          </w:p>
        </w:tc>
      </w:tr>
      <w:tr w:rsidR="002F324E" w:rsidRPr="008132BB" w:rsidTr="00F654CB">
        <w:tc>
          <w:tcPr>
            <w:tcW w:w="3116" w:type="dxa"/>
          </w:tcPr>
          <w:p w:rsidR="002F324E" w:rsidRPr="008132BB" w:rsidRDefault="00F15B25" w:rsidP="00F654CB">
            <w:pPr>
              <w:autoSpaceDE w:val="0"/>
              <w:autoSpaceDN w:val="0"/>
              <w:adjustRightInd w:val="0"/>
              <w:jc w:val="center"/>
              <w:rPr>
                <w:rFonts w:cstheme="minorHAnsi"/>
                <w:b/>
                <w:bCs/>
                <w:sz w:val="20"/>
              </w:rPr>
            </w:pPr>
            <w:r>
              <w:rPr>
                <w:rFonts w:cstheme="minorHAnsi"/>
                <w:b/>
                <w:bCs/>
                <w:sz w:val="20"/>
              </w:rPr>
              <w:t>5</w:t>
            </w:r>
          </w:p>
        </w:tc>
        <w:tc>
          <w:tcPr>
            <w:tcW w:w="3117" w:type="dxa"/>
          </w:tcPr>
          <w:p w:rsidR="002F324E" w:rsidRPr="008132BB" w:rsidRDefault="0063529A" w:rsidP="00F654CB">
            <w:pPr>
              <w:autoSpaceDE w:val="0"/>
              <w:autoSpaceDN w:val="0"/>
              <w:adjustRightInd w:val="0"/>
              <w:jc w:val="center"/>
              <w:rPr>
                <w:rFonts w:cstheme="minorHAnsi"/>
                <w:b/>
                <w:bCs/>
                <w:sz w:val="20"/>
              </w:rPr>
            </w:pPr>
            <w:r>
              <w:rPr>
                <w:rFonts w:cstheme="minorHAnsi"/>
                <w:sz w:val="20"/>
              </w:rPr>
              <w:t>33.84</w:t>
            </w:r>
          </w:p>
        </w:tc>
        <w:tc>
          <w:tcPr>
            <w:tcW w:w="3117" w:type="dxa"/>
          </w:tcPr>
          <w:p w:rsidR="002F324E" w:rsidRPr="008132BB" w:rsidRDefault="0063529A" w:rsidP="00F654CB">
            <w:pPr>
              <w:autoSpaceDE w:val="0"/>
              <w:autoSpaceDN w:val="0"/>
              <w:adjustRightInd w:val="0"/>
              <w:jc w:val="center"/>
              <w:rPr>
                <w:rFonts w:cstheme="minorHAnsi"/>
                <w:sz w:val="20"/>
              </w:rPr>
            </w:pPr>
            <w:r>
              <w:rPr>
                <w:rFonts w:cstheme="minorHAnsi"/>
                <w:sz w:val="20"/>
              </w:rPr>
              <w:t>32.7</w:t>
            </w:r>
          </w:p>
        </w:tc>
      </w:tr>
      <w:tr w:rsidR="002F324E" w:rsidRPr="008132BB" w:rsidTr="00F654CB">
        <w:tc>
          <w:tcPr>
            <w:tcW w:w="3116" w:type="dxa"/>
          </w:tcPr>
          <w:p w:rsidR="002F324E" w:rsidRPr="008132BB" w:rsidRDefault="002F324E" w:rsidP="00F654CB">
            <w:pPr>
              <w:autoSpaceDE w:val="0"/>
              <w:autoSpaceDN w:val="0"/>
              <w:adjustRightInd w:val="0"/>
              <w:jc w:val="center"/>
              <w:rPr>
                <w:rFonts w:cstheme="minorHAnsi"/>
                <w:b/>
                <w:bCs/>
                <w:sz w:val="20"/>
              </w:rPr>
            </w:pPr>
            <w:r w:rsidRPr="008132BB">
              <w:rPr>
                <w:rFonts w:cstheme="minorHAnsi"/>
                <w:b/>
                <w:bCs/>
                <w:sz w:val="20"/>
              </w:rPr>
              <w:t>10</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57.05</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56.8</w:t>
            </w:r>
          </w:p>
        </w:tc>
      </w:tr>
      <w:tr w:rsidR="002F324E" w:rsidRPr="008132BB" w:rsidTr="00F654CB">
        <w:tc>
          <w:tcPr>
            <w:tcW w:w="3116" w:type="dxa"/>
          </w:tcPr>
          <w:p w:rsidR="002F324E" w:rsidRPr="008132BB" w:rsidRDefault="0063529A" w:rsidP="00F654CB">
            <w:pPr>
              <w:autoSpaceDE w:val="0"/>
              <w:autoSpaceDN w:val="0"/>
              <w:adjustRightInd w:val="0"/>
              <w:jc w:val="center"/>
              <w:rPr>
                <w:rFonts w:cstheme="minorHAnsi"/>
                <w:b/>
                <w:bCs/>
                <w:sz w:val="20"/>
              </w:rPr>
            </w:pPr>
            <w:r>
              <w:rPr>
                <w:rFonts w:cstheme="minorHAnsi"/>
                <w:b/>
                <w:bCs/>
                <w:sz w:val="20"/>
              </w:rPr>
              <w:t>15</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63.48</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70.10</w:t>
            </w:r>
          </w:p>
        </w:tc>
      </w:tr>
      <w:tr w:rsidR="002F324E" w:rsidRPr="008132BB" w:rsidTr="00F654CB">
        <w:tc>
          <w:tcPr>
            <w:tcW w:w="3116" w:type="dxa"/>
          </w:tcPr>
          <w:p w:rsidR="002F324E" w:rsidRPr="008132BB" w:rsidRDefault="0063529A" w:rsidP="00F654CB">
            <w:pPr>
              <w:autoSpaceDE w:val="0"/>
              <w:autoSpaceDN w:val="0"/>
              <w:adjustRightInd w:val="0"/>
              <w:jc w:val="center"/>
              <w:rPr>
                <w:rFonts w:cstheme="minorHAnsi"/>
                <w:b/>
                <w:bCs/>
                <w:sz w:val="20"/>
              </w:rPr>
            </w:pPr>
            <w:r>
              <w:rPr>
                <w:rFonts w:cstheme="minorHAnsi"/>
                <w:b/>
                <w:bCs/>
                <w:sz w:val="20"/>
              </w:rPr>
              <w:t>30</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91.84</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94.3</w:t>
            </w:r>
          </w:p>
        </w:tc>
      </w:tr>
      <w:tr w:rsidR="002F324E" w:rsidRPr="008132BB" w:rsidTr="00F654CB">
        <w:tc>
          <w:tcPr>
            <w:tcW w:w="3116" w:type="dxa"/>
          </w:tcPr>
          <w:p w:rsidR="002F324E" w:rsidRPr="008132BB" w:rsidRDefault="0063529A" w:rsidP="00F654CB">
            <w:pPr>
              <w:autoSpaceDE w:val="0"/>
              <w:autoSpaceDN w:val="0"/>
              <w:adjustRightInd w:val="0"/>
              <w:jc w:val="center"/>
              <w:rPr>
                <w:rFonts w:cstheme="minorHAnsi"/>
                <w:b/>
                <w:bCs/>
                <w:sz w:val="20"/>
              </w:rPr>
            </w:pPr>
            <w:r>
              <w:rPr>
                <w:rFonts w:cstheme="minorHAnsi"/>
                <w:b/>
                <w:bCs/>
                <w:sz w:val="20"/>
              </w:rPr>
              <w:t>45</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93.86</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99.4</w:t>
            </w:r>
          </w:p>
        </w:tc>
      </w:tr>
      <w:tr w:rsidR="002F324E" w:rsidRPr="008132BB" w:rsidTr="00F654CB">
        <w:tc>
          <w:tcPr>
            <w:tcW w:w="3116" w:type="dxa"/>
          </w:tcPr>
          <w:p w:rsidR="002F324E" w:rsidRPr="008132BB" w:rsidRDefault="002F324E" w:rsidP="00F654CB">
            <w:pPr>
              <w:autoSpaceDE w:val="0"/>
              <w:autoSpaceDN w:val="0"/>
              <w:adjustRightInd w:val="0"/>
              <w:jc w:val="center"/>
              <w:rPr>
                <w:rFonts w:cstheme="minorHAnsi"/>
                <w:b/>
                <w:bCs/>
                <w:sz w:val="20"/>
              </w:rPr>
            </w:pPr>
            <w:r w:rsidRPr="008132BB">
              <w:rPr>
                <w:rFonts w:cstheme="minorHAnsi"/>
                <w:b/>
                <w:bCs/>
                <w:sz w:val="20"/>
              </w:rPr>
              <w:t>60</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94.03</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101.2</w:t>
            </w:r>
          </w:p>
        </w:tc>
      </w:tr>
      <w:tr w:rsidR="002F324E" w:rsidRPr="008132BB" w:rsidTr="00F654CB">
        <w:tc>
          <w:tcPr>
            <w:tcW w:w="3116" w:type="dxa"/>
          </w:tcPr>
          <w:p w:rsidR="002F324E" w:rsidRPr="008132BB" w:rsidRDefault="0063529A" w:rsidP="00F654CB">
            <w:pPr>
              <w:autoSpaceDE w:val="0"/>
              <w:autoSpaceDN w:val="0"/>
              <w:adjustRightInd w:val="0"/>
              <w:jc w:val="center"/>
              <w:rPr>
                <w:rFonts w:cstheme="minorHAnsi"/>
                <w:b/>
                <w:bCs/>
                <w:sz w:val="20"/>
              </w:rPr>
            </w:pPr>
            <w:r>
              <w:rPr>
                <w:rFonts w:cstheme="minorHAnsi"/>
                <w:b/>
                <w:bCs/>
                <w:sz w:val="20"/>
              </w:rPr>
              <w:t>90</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94.58</w:t>
            </w:r>
          </w:p>
        </w:tc>
        <w:tc>
          <w:tcPr>
            <w:tcW w:w="3117" w:type="dxa"/>
          </w:tcPr>
          <w:p w:rsidR="002F324E" w:rsidRPr="008132BB" w:rsidRDefault="0063529A" w:rsidP="00F654CB">
            <w:pPr>
              <w:autoSpaceDE w:val="0"/>
              <w:autoSpaceDN w:val="0"/>
              <w:adjustRightInd w:val="0"/>
              <w:jc w:val="center"/>
              <w:rPr>
                <w:rFonts w:cstheme="minorHAnsi"/>
                <w:bCs/>
                <w:sz w:val="20"/>
              </w:rPr>
            </w:pPr>
            <w:r>
              <w:rPr>
                <w:rFonts w:cstheme="minorHAnsi"/>
                <w:bCs/>
                <w:sz w:val="20"/>
              </w:rPr>
              <w:t>100.3</w:t>
            </w:r>
          </w:p>
        </w:tc>
      </w:tr>
    </w:tbl>
    <w:p w:rsidR="002F324E" w:rsidRPr="00E201C1" w:rsidRDefault="002F324E" w:rsidP="00492D0F">
      <w:pPr>
        <w:autoSpaceDE w:val="0"/>
        <w:autoSpaceDN w:val="0"/>
        <w:adjustRightInd w:val="0"/>
        <w:spacing w:after="0" w:line="240" w:lineRule="auto"/>
        <w:rPr>
          <w:rFonts w:cstheme="minorHAnsi"/>
          <w:b/>
          <w:bCs/>
        </w:rPr>
      </w:pPr>
    </w:p>
    <w:p w:rsidR="00EA79B4" w:rsidRDefault="00EA79B4" w:rsidP="00007B4A">
      <w:pPr>
        <w:autoSpaceDE w:val="0"/>
        <w:autoSpaceDN w:val="0"/>
        <w:adjustRightInd w:val="0"/>
        <w:spacing w:after="0" w:line="240" w:lineRule="auto"/>
        <w:jc w:val="center"/>
        <w:rPr>
          <w:rFonts w:cstheme="minorHAnsi"/>
          <w:b/>
          <w:bCs/>
          <w:u w:val="single"/>
        </w:rPr>
      </w:pPr>
    </w:p>
    <w:p w:rsidR="00EA79B4" w:rsidRDefault="00EA79B4" w:rsidP="00007B4A">
      <w:pPr>
        <w:autoSpaceDE w:val="0"/>
        <w:autoSpaceDN w:val="0"/>
        <w:adjustRightInd w:val="0"/>
        <w:spacing w:after="0" w:line="240" w:lineRule="auto"/>
        <w:jc w:val="center"/>
        <w:rPr>
          <w:rFonts w:cstheme="minorHAnsi"/>
          <w:b/>
          <w:bCs/>
          <w:u w:val="single"/>
        </w:rPr>
      </w:pPr>
    </w:p>
    <w:p w:rsidR="008F42E2" w:rsidRPr="00EA79B4" w:rsidRDefault="00EA79B4" w:rsidP="00007B4A">
      <w:pPr>
        <w:autoSpaceDE w:val="0"/>
        <w:autoSpaceDN w:val="0"/>
        <w:adjustRightInd w:val="0"/>
        <w:spacing w:after="0" w:line="240" w:lineRule="auto"/>
        <w:jc w:val="center"/>
        <w:rPr>
          <w:rFonts w:cstheme="minorHAnsi"/>
          <w:b/>
          <w:bCs/>
          <w:u w:val="single"/>
        </w:rPr>
      </w:pPr>
      <w:r w:rsidRPr="00EA79B4">
        <w:rPr>
          <w:rFonts w:cstheme="minorHAnsi"/>
          <w:b/>
          <w:bCs/>
          <w:u w:val="single"/>
        </w:rPr>
        <w:t>COMPARATIVE DISSOLUTION PROFILE</w:t>
      </w:r>
    </w:p>
    <w:p w:rsidR="002B0F05" w:rsidRPr="00E201C1" w:rsidRDefault="002B0F05" w:rsidP="00492D0F">
      <w:pPr>
        <w:autoSpaceDE w:val="0"/>
        <w:autoSpaceDN w:val="0"/>
        <w:adjustRightInd w:val="0"/>
        <w:spacing w:after="0" w:line="240" w:lineRule="auto"/>
        <w:rPr>
          <w:rFonts w:cstheme="minorHAnsi"/>
          <w:b/>
          <w:bCs/>
        </w:rPr>
      </w:pPr>
    </w:p>
    <w:p w:rsidR="00B26657" w:rsidRDefault="002B0F05" w:rsidP="00007B4A">
      <w:pPr>
        <w:autoSpaceDE w:val="0"/>
        <w:autoSpaceDN w:val="0"/>
        <w:adjustRightInd w:val="0"/>
        <w:spacing w:after="0" w:line="240" w:lineRule="auto"/>
        <w:jc w:val="center"/>
        <w:rPr>
          <w:rFonts w:cstheme="minorHAnsi"/>
          <w:b/>
          <w:bCs/>
        </w:rPr>
      </w:pPr>
      <w:r>
        <w:rPr>
          <w:noProof/>
        </w:rPr>
        <w:drawing>
          <wp:inline distT="0" distB="0" distL="0" distR="0">
            <wp:extent cx="3590925" cy="2190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1698" t="22307" r="27884" b="18718"/>
                    <a:stretch/>
                  </pic:blipFill>
                  <pic:spPr bwMode="auto">
                    <a:xfrm>
                      <a:off x="0" y="0"/>
                      <a:ext cx="3590925" cy="21907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B0F05" w:rsidRPr="00E201C1" w:rsidRDefault="002B0F05" w:rsidP="00492D0F">
      <w:pPr>
        <w:autoSpaceDE w:val="0"/>
        <w:autoSpaceDN w:val="0"/>
        <w:adjustRightInd w:val="0"/>
        <w:spacing w:after="0" w:line="240" w:lineRule="auto"/>
        <w:rPr>
          <w:rFonts w:cstheme="minorHAnsi"/>
          <w:b/>
          <w:bCs/>
        </w:rPr>
      </w:pPr>
    </w:p>
    <w:p w:rsidR="008F42E2" w:rsidRPr="00E201C1" w:rsidRDefault="008F42E2" w:rsidP="00EA79B4">
      <w:pPr>
        <w:autoSpaceDE w:val="0"/>
        <w:autoSpaceDN w:val="0"/>
        <w:adjustRightInd w:val="0"/>
        <w:spacing w:after="0" w:line="360" w:lineRule="auto"/>
        <w:rPr>
          <w:rFonts w:cstheme="minorHAnsi"/>
          <w:b/>
          <w:bCs/>
        </w:rPr>
      </w:pPr>
      <w:r w:rsidRPr="00E201C1">
        <w:rPr>
          <w:rFonts w:cstheme="minorHAnsi"/>
          <w:b/>
          <w:bCs/>
        </w:rPr>
        <w:t xml:space="preserve">Differential Factor (F1) was found to be </w:t>
      </w:r>
      <w:r w:rsidR="002B0F05">
        <w:rPr>
          <w:rFonts w:cstheme="minorHAnsi"/>
          <w:b/>
          <w:bCs/>
        </w:rPr>
        <w:t>5.47</w:t>
      </w:r>
      <w:r w:rsidRPr="00E201C1">
        <w:rPr>
          <w:rFonts w:cstheme="minorHAnsi"/>
          <w:b/>
          <w:bCs/>
        </w:rPr>
        <w:t xml:space="preserve"> (0-15 is acceptable)</w:t>
      </w:r>
    </w:p>
    <w:p w:rsidR="008F42E2" w:rsidRPr="00E201C1" w:rsidRDefault="008F42E2" w:rsidP="00EA79B4">
      <w:pPr>
        <w:autoSpaceDE w:val="0"/>
        <w:autoSpaceDN w:val="0"/>
        <w:adjustRightInd w:val="0"/>
        <w:spacing w:after="0" w:line="360" w:lineRule="auto"/>
        <w:rPr>
          <w:rFonts w:cstheme="minorHAnsi"/>
          <w:b/>
          <w:bCs/>
        </w:rPr>
      </w:pPr>
      <w:r w:rsidRPr="00E201C1">
        <w:rPr>
          <w:rFonts w:cstheme="minorHAnsi"/>
          <w:b/>
          <w:bCs/>
        </w:rPr>
        <w:t xml:space="preserve">Similarity Factor (F2) was found to be </w:t>
      </w:r>
      <w:r w:rsidR="002B0F05">
        <w:rPr>
          <w:rFonts w:cstheme="minorHAnsi"/>
          <w:b/>
          <w:bCs/>
        </w:rPr>
        <w:t>65.17</w:t>
      </w:r>
      <w:r w:rsidRPr="00E201C1">
        <w:rPr>
          <w:rFonts w:cstheme="minorHAnsi"/>
          <w:b/>
          <w:bCs/>
        </w:rPr>
        <w:t xml:space="preserve"> (50-100 is acceptable)</w:t>
      </w:r>
    </w:p>
    <w:p w:rsidR="003C6226" w:rsidRPr="00EA79B4" w:rsidRDefault="003C6226" w:rsidP="00492D0F">
      <w:pPr>
        <w:autoSpaceDE w:val="0"/>
        <w:autoSpaceDN w:val="0"/>
        <w:adjustRightInd w:val="0"/>
        <w:spacing w:after="0" w:line="240" w:lineRule="auto"/>
        <w:rPr>
          <w:rFonts w:cstheme="minorHAnsi"/>
          <w:b/>
          <w:bCs/>
          <w:u w:val="single"/>
        </w:rPr>
      </w:pPr>
    </w:p>
    <w:p w:rsidR="008F42E2" w:rsidRPr="00EA79B4" w:rsidRDefault="00EA79B4" w:rsidP="00492D0F">
      <w:pPr>
        <w:autoSpaceDE w:val="0"/>
        <w:autoSpaceDN w:val="0"/>
        <w:adjustRightInd w:val="0"/>
        <w:spacing w:after="0" w:line="240" w:lineRule="auto"/>
        <w:rPr>
          <w:rFonts w:cstheme="minorHAnsi"/>
          <w:b/>
          <w:bCs/>
          <w:u w:val="single"/>
        </w:rPr>
      </w:pPr>
      <w:r w:rsidRPr="00EA79B4">
        <w:rPr>
          <w:rFonts w:cstheme="minorHAnsi"/>
          <w:b/>
          <w:bCs/>
          <w:u w:val="single"/>
        </w:rPr>
        <w:t>REPORT</w:t>
      </w:r>
    </w:p>
    <w:p w:rsidR="00EA79B4" w:rsidRPr="00E201C1" w:rsidRDefault="00EA79B4" w:rsidP="00492D0F">
      <w:pPr>
        <w:autoSpaceDE w:val="0"/>
        <w:autoSpaceDN w:val="0"/>
        <w:adjustRightInd w:val="0"/>
        <w:spacing w:after="0" w:line="240" w:lineRule="auto"/>
        <w:rPr>
          <w:rFonts w:cstheme="minorHAnsi"/>
          <w:b/>
          <w:bCs/>
        </w:rPr>
      </w:pPr>
    </w:p>
    <w:p w:rsidR="003C78CE" w:rsidRPr="00E201C1" w:rsidRDefault="008F42E2" w:rsidP="008132BB">
      <w:pPr>
        <w:autoSpaceDE w:val="0"/>
        <w:autoSpaceDN w:val="0"/>
        <w:adjustRightInd w:val="0"/>
        <w:spacing w:after="0" w:line="360" w:lineRule="auto"/>
        <w:rPr>
          <w:rFonts w:cstheme="minorHAnsi"/>
        </w:rPr>
      </w:pPr>
      <w:r w:rsidRPr="00E201C1">
        <w:rPr>
          <w:rFonts w:cstheme="minorHAnsi"/>
        </w:rPr>
        <w:t xml:space="preserve">From the above values of F1 &amp; F2, It can be concluded that </w:t>
      </w:r>
      <w:r w:rsidR="003C6226">
        <w:rPr>
          <w:rFonts w:cstheme="minorHAnsi"/>
        </w:rPr>
        <w:t>Itraconazole</w:t>
      </w:r>
      <w:r w:rsidR="00EA79B4">
        <w:rPr>
          <w:rFonts w:cstheme="minorHAnsi"/>
        </w:rPr>
        <w:t xml:space="preserve"> </w:t>
      </w:r>
      <w:r w:rsidR="00EA79B4" w:rsidRPr="00E201C1">
        <w:rPr>
          <w:rFonts w:cstheme="minorHAnsi"/>
        </w:rPr>
        <w:t>Pellets</w:t>
      </w:r>
      <w:r w:rsidR="00EA79B4">
        <w:rPr>
          <w:rFonts w:cstheme="minorHAnsi"/>
        </w:rPr>
        <w:t xml:space="preserve"> </w:t>
      </w:r>
      <w:r w:rsidR="00EA79B4" w:rsidRPr="00E201C1">
        <w:rPr>
          <w:rFonts w:cstheme="minorHAnsi"/>
        </w:rPr>
        <w:t>manufactured</w:t>
      </w:r>
      <w:r w:rsidRPr="00E201C1">
        <w:rPr>
          <w:rFonts w:cstheme="minorHAnsi"/>
        </w:rPr>
        <w:t xml:space="preserve"> at </w:t>
      </w:r>
      <w:r w:rsidR="003C3162">
        <w:rPr>
          <w:rFonts w:cstheme="minorHAnsi"/>
        </w:rPr>
        <w:br/>
      </w:r>
      <w:bookmarkStart w:id="0" w:name="_GoBack"/>
      <w:bookmarkEnd w:id="0"/>
      <w:r w:rsidRPr="00E201C1">
        <w:rPr>
          <w:rFonts w:cstheme="minorHAnsi"/>
        </w:rPr>
        <w:t>Murli</w:t>
      </w:r>
      <w:r w:rsidR="003C3162">
        <w:rPr>
          <w:rFonts w:cstheme="minorHAnsi"/>
        </w:rPr>
        <w:t xml:space="preserve"> K</w:t>
      </w:r>
      <w:r w:rsidRPr="00E201C1">
        <w:rPr>
          <w:rFonts w:cstheme="minorHAnsi"/>
        </w:rPr>
        <w:t>rishna Pharma Compare Favorably with that of the</w:t>
      </w:r>
      <w:r w:rsidR="00EA79B4">
        <w:rPr>
          <w:rFonts w:cstheme="minorHAnsi"/>
        </w:rPr>
        <w:t xml:space="preserve"> </w:t>
      </w:r>
      <w:r w:rsidRPr="00E201C1">
        <w:rPr>
          <w:rFonts w:cstheme="minorHAnsi"/>
        </w:rPr>
        <w:t>marketed product.</w:t>
      </w:r>
    </w:p>
    <w:sectPr w:rsidR="003C78CE" w:rsidRPr="00E201C1" w:rsidSect="008C7EE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922" w:rsidRDefault="00C25922" w:rsidP="006B509D">
      <w:pPr>
        <w:spacing w:after="0" w:line="240" w:lineRule="auto"/>
      </w:pPr>
      <w:r>
        <w:separator/>
      </w:r>
    </w:p>
  </w:endnote>
  <w:endnote w:type="continuationSeparator" w:id="1">
    <w:p w:rsidR="00C25922" w:rsidRDefault="00C25922" w:rsidP="006B5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922" w:rsidRDefault="00C25922" w:rsidP="006B509D">
      <w:pPr>
        <w:spacing w:after="0" w:line="240" w:lineRule="auto"/>
      </w:pPr>
      <w:r>
        <w:separator/>
      </w:r>
    </w:p>
  </w:footnote>
  <w:footnote w:type="continuationSeparator" w:id="1">
    <w:p w:rsidR="00C25922" w:rsidRDefault="00C25922" w:rsidP="006B50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9D" w:rsidRDefault="006B509D">
    <w:pPr>
      <w:pStyle w:val="Header"/>
    </w:pPr>
    <w:r>
      <w:rPr>
        <w:rFonts w:cstheme="minorHAnsi"/>
        <w:b/>
        <w:noProof/>
        <w:sz w:val="52"/>
      </w:rPr>
      <w:drawing>
        <wp:anchor distT="0" distB="0" distL="114300" distR="114300" simplePos="0" relativeHeight="251659264" behindDoc="0" locked="0" layoutInCell="1" allowOverlap="1">
          <wp:simplePos x="0" y="0"/>
          <wp:positionH relativeFrom="column">
            <wp:posOffset>5724525</wp:posOffset>
          </wp:positionH>
          <wp:positionV relativeFrom="paragraph">
            <wp:posOffset>-314325</wp:posOffset>
          </wp:positionV>
          <wp:extent cx="966470" cy="859299"/>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Logo MKPP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6470" cy="85929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F42E2"/>
    <w:rsid w:val="00007B4A"/>
    <w:rsid w:val="000A62D9"/>
    <w:rsid w:val="000B6CAC"/>
    <w:rsid w:val="000D37BF"/>
    <w:rsid w:val="00151141"/>
    <w:rsid w:val="0015588E"/>
    <w:rsid w:val="0023142F"/>
    <w:rsid w:val="002B0F05"/>
    <w:rsid w:val="002F324E"/>
    <w:rsid w:val="00371CB0"/>
    <w:rsid w:val="003C3162"/>
    <w:rsid w:val="003C6226"/>
    <w:rsid w:val="003C78CE"/>
    <w:rsid w:val="00492D0F"/>
    <w:rsid w:val="004D2938"/>
    <w:rsid w:val="004F76B7"/>
    <w:rsid w:val="0052402B"/>
    <w:rsid w:val="00561C21"/>
    <w:rsid w:val="005A76D0"/>
    <w:rsid w:val="005B62C1"/>
    <w:rsid w:val="0063529A"/>
    <w:rsid w:val="006B509D"/>
    <w:rsid w:val="00703957"/>
    <w:rsid w:val="007A013D"/>
    <w:rsid w:val="007D0EFC"/>
    <w:rsid w:val="007E3823"/>
    <w:rsid w:val="008066A2"/>
    <w:rsid w:val="008132BB"/>
    <w:rsid w:val="008C7EEC"/>
    <w:rsid w:val="008E433D"/>
    <w:rsid w:val="008F4089"/>
    <w:rsid w:val="008F42E2"/>
    <w:rsid w:val="009F4B03"/>
    <w:rsid w:val="00A12A90"/>
    <w:rsid w:val="00A35F8A"/>
    <w:rsid w:val="00AB7A32"/>
    <w:rsid w:val="00B26657"/>
    <w:rsid w:val="00B64E0D"/>
    <w:rsid w:val="00B81084"/>
    <w:rsid w:val="00BC0920"/>
    <w:rsid w:val="00BC7C3E"/>
    <w:rsid w:val="00C25922"/>
    <w:rsid w:val="00CC58A2"/>
    <w:rsid w:val="00CE00F7"/>
    <w:rsid w:val="00D46096"/>
    <w:rsid w:val="00D85824"/>
    <w:rsid w:val="00D917A2"/>
    <w:rsid w:val="00D92032"/>
    <w:rsid w:val="00DB3EE9"/>
    <w:rsid w:val="00DD6CAD"/>
    <w:rsid w:val="00E201C1"/>
    <w:rsid w:val="00E44E2F"/>
    <w:rsid w:val="00EA79B4"/>
    <w:rsid w:val="00EB517F"/>
    <w:rsid w:val="00F15B25"/>
    <w:rsid w:val="00F46877"/>
    <w:rsid w:val="00F654CB"/>
    <w:rsid w:val="00F71431"/>
    <w:rsid w:val="00FE2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46096"/>
    <w:pPr>
      <w:spacing w:after="0" w:line="240" w:lineRule="auto"/>
    </w:pPr>
  </w:style>
  <w:style w:type="paragraph" w:styleId="ListParagraph">
    <w:name w:val="List Paragraph"/>
    <w:basedOn w:val="Normal"/>
    <w:uiPriority w:val="34"/>
    <w:qFormat/>
    <w:rsid w:val="007A013D"/>
    <w:pPr>
      <w:ind w:left="720"/>
      <w:contextualSpacing/>
    </w:pPr>
  </w:style>
  <w:style w:type="paragraph" w:styleId="Header">
    <w:name w:val="header"/>
    <w:basedOn w:val="Normal"/>
    <w:link w:val="HeaderChar"/>
    <w:uiPriority w:val="99"/>
    <w:unhideWhenUsed/>
    <w:rsid w:val="006B5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09D"/>
  </w:style>
  <w:style w:type="paragraph" w:styleId="Footer">
    <w:name w:val="footer"/>
    <w:basedOn w:val="Normal"/>
    <w:link w:val="FooterChar"/>
    <w:uiPriority w:val="99"/>
    <w:unhideWhenUsed/>
    <w:rsid w:val="006B5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09D"/>
  </w:style>
  <w:style w:type="paragraph" w:styleId="BalloonText">
    <w:name w:val="Balloon Text"/>
    <w:basedOn w:val="Normal"/>
    <w:link w:val="BalloonTextChar"/>
    <w:uiPriority w:val="99"/>
    <w:semiHidden/>
    <w:unhideWhenUsed/>
    <w:rsid w:val="00EA7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9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7254347">
      <w:bodyDiv w:val="1"/>
      <w:marLeft w:val="0"/>
      <w:marRight w:val="0"/>
      <w:marTop w:val="0"/>
      <w:marBottom w:val="0"/>
      <w:divBdr>
        <w:top w:val="none" w:sz="0" w:space="0" w:color="auto"/>
        <w:left w:val="none" w:sz="0" w:space="0" w:color="auto"/>
        <w:bottom w:val="none" w:sz="0" w:space="0" w:color="auto"/>
        <w:right w:val="none" w:sz="0" w:space="0" w:color="auto"/>
      </w:divBdr>
    </w:div>
    <w:div w:id="529686740">
      <w:bodyDiv w:val="1"/>
      <w:marLeft w:val="0"/>
      <w:marRight w:val="0"/>
      <w:marTop w:val="0"/>
      <w:marBottom w:val="0"/>
      <w:divBdr>
        <w:top w:val="none" w:sz="0" w:space="0" w:color="auto"/>
        <w:left w:val="none" w:sz="0" w:space="0" w:color="auto"/>
        <w:bottom w:val="none" w:sz="0" w:space="0" w:color="auto"/>
        <w:right w:val="none" w:sz="0" w:space="0" w:color="auto"/>
      </w:divBdr>
    </w:div>
    <w:div w:id="2010136619">
      <w:bodyDiv w:val="1"/>
      <w:marLeft w:val="0"/>
      <w:marRight w:val="0"/>
      <w:marTop w:val="0"/>
      <w:marBottom w:val="0"/>
      <w:divBdr>
        <w:top w:val="none" w:sz="0" w:space="0" w:color="auto"/>
        <w:left w:val="none" w:sz="0" w:space="0" w:color="auto"/>
        <w:bottom w:val="none" w:sz="0" w:space="0" w:color="auto"/>
        <w:right w:val="none" w:sz="0" w:space="0" w:color="auto"/>
      </w:divBdr>
    </w:div>
    <w:div w:id="21441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Pacharne</dc:creator>
  <cp:keywords/>
  <dc:description/>
  <cp:lastModifiedBy>Kranthi.Kosaraju</cp:lastModifiedBy>
  <cp:revision>13</cp:revision>
  <cp:lastPrinted>2018-10-05T06:52:00Z</cp:lastPrinted>
  <dcterms:created xsi:type="dcterms:W3CDTF">2018-10-02T04:39:00Z</dcterms:created>
  <dcterms:modified xsi:type="dcterms:W3CDTF">2018-10-05T06:54:00Z</dcterms:modified>
</cp:coreProperties>
</file>